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C5D1D" w14:textId="77777777" w:rsidR="00C53C1B" w:rsidRPr="00C53C1B" w:rsidRDefault="00C53C1B" w:rsidP="00C53C1B">
      <w:pPr>
        <w:shd w:val="clear" w:color="auto" w:fill="FFFFFF"/>
        <w:spacing w:after="0" w:line="240" w:lineRule="auto"/>
        <w:rPr>
          <w:rFonts w:ascii="Arial" w:eastAsia="Times New Roman" w:hAnsi="Arial" w:cs="Arial"/>
          <w:color w:val="000000"/>
          <w:kern w:val="0"/>
          <w:sz w:val="27"/>
          <w:szCs w:val="27"/>
          <w:lang w:eastAsia="en-GB"/>
          <w14:ligatures w14:val="none"/>
        </w:rPr>
      </w:pPr>
      <w:r w:rsidRPr="00C53C1B">
        <w:rPr>
          <w:rFonts w:ascii="Arial" w:eastAsia="Times New Roman" w:hAnsi="Arial" w:cs="Arial"/>
          <w:color w:val="505A5F"/>
          <w:kern w:val="0"/>
          <w:sz w:val="27"/>
          <w:szCs w:val="27"/>
          <w:lang w:eastAsia="en-GB"/>
          <w14:ligatures w14:val="none"/>
        </w:rPr>
        <w:t>Guidance</w:t>
      </w:r>
    </w:p>
    <w:p w14:paraId="2DCD009F" w14:textId="77777777" w:rsidR="00C53C1B" w:rsidRPr="00C53C1B" w:rsidRDefault="00C53C1B" w:rsidP="00C53C1B">
      <w:pPr>
        <w:shd w:val="clear" w:color="auto" w:fill="FFFFFF"/>
        <w:spacing w:line="240" w:lineRule="auto"/>
        <w:outlineLvl w:val="0"/>
        <w:rPr>
          <w:rFonts w:ascii="Arial" w:eastAsia="Times New Roman" w:hAnsi="Arial" w:cs="Arial"/>
          <w:b/>
          <w:bCs/>
          <w:color w:val="0B0C0C"/>
          <w:kern w:val="36"/>
          <w:sz w:val="48"/>
          <w:szCs w:val="48"/>
          <w:lang w:eastAsia="en-GB"/>
          <w14:ligatures w14:val="none"/>
        </w:rPr>
      </w:pPr>
      <w:r w:rsidRPr="00C53C1B">
        <w:rPr>
          <w:rFonts w:ascii="Arial" w:eastAsia="Times New Roman" w:hAnsi="Arial" w:cs="Arial"/>
          <w:b/>
          <w:bCs/>
          <w:color w:val="0B0C0C"/>
          <w:kern w:val="36"/>
          <w:sz w:val="48"/>
          <w:szCs w:val="48"/>
          <w:lang w:eastAsia="en-GB"/>
          <w14:ligatures w14:val="none"/>
        </w:rPr>
        <w:t>Green Belt</w:t>
      </w:r>
    </w:p>
    <w:p w14:paraId="2C9D9A7F" w14:textId="77777777" w:rsidR="00C53C1B" w:rsidRPr="00C53C1B" w:rsidRDefault="00C53C1B" w:rsidP="00C53C1B">
      <w:pPr>
        <w:shd w:val="clear" w:color="auto" w:fill="FFFFFF"/>
        <w:spacing w:after="600" w:line="240" w:lineRule="auto"/>
        <w:rPr>
          <w:rFonts w:ascii="Arial" w:eastAsia="Times New Roman" w:hAnsi="Arial" w:cs="Arial"/>
          <w:color w:val="0B0C0C"/>
          <w:kern w:val="0"/>
          <w:sz w:val="27"/>
          <w:szCs w:val="27"/>
          <w:lang w:eastAsia="en-GB"/>
          <w14:ligatures w14:val="none"/>
        </w:rPr>
      </w:pPr>
      <w:r w:rsidRPr="00C53C1B">
        <w:rPr>
          <w:rFonts w:ascii="Arial" w:eastAsia="Times New Roman" w:hAnsi="Arial" w:cs="Arial"/>
          <w:color w:val="0B0C0C"/>
          <w:kern w:val="0"/>
          <w:sz w:val="27"/>
          <w:szCs w:val="27"/>
          <w:lang w:eastAsia="en-GB"/>
          <w14:ligatures w14:val="none"/>
        </w:rPr>
        <w:t>Advice on the role of the Green Belt in the planning system.</w:t>
      </w:r>
    </w:p>
    <w:p w14:paraId="353CBF99" w14:textId="77777777" w:rsidR="00C53C1B" w:rsidRPr="00C53C1B" w:rsidRDefault="00C53C1B" w:rsidP="00C53C1B">
      <w:pPr>
        <w:shd w:val="clear" w:color="auto" w:fill="FFFFFF"/>
        <w:spacing w:after="0" w:line="240" w:lineRule="auto"/>
        <w:rPr>
          <w:rFonts w:ascii="Arial" w:eastAsia="Times New Roman" w:hAnsi="Arial" w:cs="Arial"/>
          <w:color w:val="0B0C0C"/>
          <w:kern w:val="0"/>
          <w:sz w:val="27"/>
          <w:szCs w:val="27"/>
          <w:lang w:eastAsia="en-GB"/>
          <w14:ligatures w14:val="none"/>
        </w:rPr>
      </w:pPr>
      <w:r w:rsidRPr="00C53C1B">
        <w:rPr>
          <w:rFonts w:ascii="Arial" w:eastAsia="Times New Roman" w:hAnsi="Arial" w:cs="Arial"/>
          <w:color w:val="0B0C0C"/>
          <w:kern w:val="0"/>
          <w:sz w:val="27"/>
          <w:szCs w:val="27"/>
          <w:lang w:eastAsia="en-GB"/>
          <w14:ligatures w14:val="none"/>
        </w:rPr>
        <w:t>From:</w:t>
      </w:r>
    </w:p>
    <w:p w14:paraId="768F12AA" w14:textId="77777777" w:rsidR="00C53C1B" w:rsidRPr="00C53C1B" w:rsidRDefault="00C53C1B" w:rsidP="00C53C1B">
      <w:pPr>
        <w:shd w:val="clear" w:color="auto" w:fill="FFFFFF"/>
        <w:spacing w:after="75" w:line="240" w:lineRule="auto"/>
        <w:ind w:left="720"/>
        <w:rPr>
          <w:rFonts w:ascii="Arial" w:eastAsia="Times New Roman" w:hAnsi="Arial" w:cs="Arial"/>
          <w:color w:val="0B0C0C"/>
          <w:kern w:val="0"/>
          <w:sz w:val="27"/>
          <w:szCs w:val="27"/>
          <w:lang w:eastAsia="en-GB"/>
          <w14:ligatures w14:val="none"/>
        </w:rPr>
      </w:pPr>
      <w:hyperlink r:id="rId5" w:history="1">
        <w:r w:rsidRPr="00C53C1B">
          <w:rPr>
            <w:rFonts w:ascii="Arial" w:eastAsia="Times New Roman" w:hAnsi="Arial" w:cs="Arial"/>
            <w:b/>
            <w:bCs/>
            <w:color w:val="1D70B8"/>
            <w:kern w:val="0"/>
            <w:sz w:val="27"/>
            <w:szCs w:val="27"/>
            <w:u w:val="single"/>
            <w:lang w:eastAsia="en-GB"/>
            <w14:ligatures w14:val="none"/>
          </w:rPr>
          <w:t>Department for Levelling Up, Housing and Communities </w:t>
        </w:r>
      </w:hyperlink>
      <w:r w:rsidRPr="00C53C1B">
        <w:rPr>
          <w:rFonts w:ascii="Arial" w:eastAsia="Times New Roman" w:hAnsi="Arial" w:cs="Arial"/>
          <w:color w:val="0B0C0C"/>
          <w:kern w:val="0"/>
          <w:sz w:val="27"/>
          <w:szCs w:val="27"/>
          <w:lang w:eastAsia="en-GB"/>
          <w14:ligatures w14:val="none"/>
        </w:rPr>
        <w:t>and </w:t>
      </w:r>
      <w:hyperlink r:id="rId6" w:history="1">
        <w:r w:rsidRPr="00C53C1B">
          <w:rPr>
            <w:rFonts w:ascii="Arial" w:eastAsia="Times New Roman" w:hAnsi="Arial" w:cs="Arial"/>
            <w:b/>
            <w:bCs/>
            <w:color w:val="1D70B8"/>
            <w:kern w:val="0"/>
            <w:sz w:val="27"/>
            <w:szCs w:val="27"/>
            <w:u w:val="single"/>
            <w:lang w:eastAsia="en-GB"/>
            <w14:ligatures w14:val="none"/>
          </w:rPr>
          <w:t>Ministry of Housing, Communities &amp; Local Government</w:t>
        </w:r>
      </w:hyperlink>
    </w:p>
    <w:p w14:paraId="69CC0BE6" w14:textId="77777777" w:rsidR="00C53C1B" w:rsidRPr="00C53C1B" w:rsidRDefault="00C53C1B" w:rsidP="00C53C1B">
      <w:pPr>
        <w:shd w:val="clear" w:color="auto" w:fill="FFFFFF"/>
        <w:spacing w:after="0" w:line="240" w:lineRule="auto"/>
        <w:rPr>
          <w:rFonts w:ascii="Arial" w:eastAsia="Times New Roman" w:hAnsi="Arial" w:cs="Arial"/>
          <w:color w:val="0B0C0C"/>
          <w:kern w:val="0"/>
          <w:sz w:val="27"/>
          <w:szCs w:val="27"/>
          <w:lang w:eastAsia="en-GB"/>
          <w14:ligatures w14:val="none"/>
        </w:rPr>
      </w:pPr>
      <w:r w:rsidRPr="00C53C1B">
        <w:rPr>
          <w:rFonts w:ascii="Arial" w:eastAsia="Times New Roman" w:hAnsi="Arial" w:cs="Arial"/>
          <w:color w:val="0B0C0C"/>
          <w:kern w:val="0"/>
          <w:sz w:val="27"/>
          <w:szCs w:val="27"/>
          <w:lang w:eastAsia="en-GB"/>
          <w14:ligatures w14:val="none"/>
        </w:rPr>
        <w:t>Published</w:t>
      </w:r>
    </w:p>
    <w:p w14:paraId="53F17868" w14:textId="77777777" w:rsidR="00C53C1B" w:rsidRPr="00C53C1B" w:rsidRDefault="00C53C1B" w:rsidP="00C53C1B">
      <w:pPr>
        <w:shd w:val="clear" w:color="auto" w:fill="FFFFFF"/>
        <w:spacing w:line="240" w:lineRule="auto"/>
        <w:ind w:left="720"/>
        <w:rPr>
          <w:rFonts w:ascii="Arial" w:eastAsia="Times New Roman" w:hAnsi="Arial" w:cs="Arial"/>
          <w:color w:val="0B0C0C"/>
          <w:kern w:val="0"/>
          <w:sz w:val="27"/>
          <w:szCs w:val="27"/>
          <w:lang w:eastAsia="en-GB"/>
          <w14:ligatures w14:val="none"/>
        </w:rPr>
      </w:pPr>
      <w:r w:rsidRPr="00C53C1B">
        <w:rPr>
          <w:rFonts w:ascii="Arial" w:eastAsia="Times New Roman" w:hAnsi="Arial" w:cs="Arial"/>
          <w:color w:val="0B0C0C"/>
          <w:kern w:val="0"/>
          <w:sz w:val="27"/>
          <w:szCs w:val="27"/>
          <w:lang w:eastAsia="en-GB"/>
          <w14:ligatures w14:val="none"/>
        </w:rPr>
        <w:t>22 July 2019</w:t>
      </w:r>
    </w:p>
    <w:p w14:paraId="71A4FF4D" w14:textId="77777777" w:rsidR="00C53C1B" w:rsidRPr="00C53C1B" w:rsidRDefault="00C53C1B" w:rsidP="00C53C1B">
      <w:pPr>
        <w:pBdr>
          <w:bottom w:val="single" w:sz="6" w:space="1" w:color="auto"/>
        </w:pBdr>
        <w:spacing w:after="0" w:line="240" w:lineRule="auto"/>
        <w:jc w:val="center"/>
        <w:rPr>
          <w:rFonts w:ascii="Arial" w:eastAsia="Times New Roman" w:hAnsi="Arial" w:cs="Arial"/>
          <w:vanish/>
          <w:kern w:val="0"/>
          <w:sz w:val="16"/>
          <w:szCs w:val="16"/>
          <w:lang w:eastAsia="en-GB"/>
          <w14:ligatures w14:val="none"/>
        </w:rPr>
      </w:pPr>
      <w:r w:rsidRPr="00C53C1B">
        <w:rPr>
          <w:rFonts w:ascii="Arial" w:eastAsia="Times New Roman" w:hAnsi="Arial" w:cs="Arial"/>
          <w:vanish/>
          <w:kern w:val="0"/>
          <w:sz w:val="16"/>
          <w:szCs w:val="16"/>
          <w:lang w:eastAsia="en-GB"/>
          <w14:ligatures w14:val="none"/>
        </w:rPr>
        <w:t>Top of Form</w:t>
      </w:r>
    </w:p>
    <w:p w14:paraId="61E31EC9" w14:textId="77777777" w:rsidR="00C53C1B" w:rsidRPr="00C53C1B" w:rsidRDefault="00C53C1B" w:rsidP="00C53C1B">
      <w:pPr>
        <w:shd w:val="clear" w:color="auto" w:fill="FFFFFF"/>
        <w:spacing w:after="0" w:line="240" w:lineRule="auto"/>
        <w:rPr>
          <w:rFonts w:ascii="Arial" w:eastAsia="Times New Roman" w:hAnsi="Arial" w:cs="Arial"/>
          <w:color w:val="000000"/>
          <w:kern w:val="0"/>
          <w:sz w:val="27"/>
          <w:szCs w:val="27"/>
          <w:lang w:eastAsia="en-GB"/>
          <w14:ligatures w14:val="none"/>
        </w:rPr>
      </w:pPr>
      <w:r w:rsidRPr="00C53C1B">
        <w:rPr>
          <w:rFonts w:ascii="Arial" w:eastAsia="Times New Roman" w:hAnsi="Arial" w:cs="Arial"/>
          <w:color w:val="000000"/>
          <w:kern w:val="0"/>
          <w:sz w:val="27"/>
          <w:szCs w:val="27"/>
          <w:lang w:eastAsia="en-GB"/>
          <w14:ligatures w14:val="none"/>
        </w:rPr>
        <w:t>Get emails about this page</w:t>
      </w:r>
    </w:p>
    <w:p w14:paraId="612101EC" w14:textId="77777777" w:rsidR="00C53C1B" w:rsidRPr="00C53C1B" w:rsidRDefault="00C53C1B" w:rsidP="00C53C1B">
      <w:pPr>
        <w:pBdr>
          <w:top w:val="single" w:sz="6" w:space="1" w:color="auto"/>
        </w:pBdr>
        <w:spacing w:line="240" w:lineRule="auto"/>
        <w:jc w:val="center"/>
        <w:rPr>
          <w:rFonts w:ascii="Arial" w:eastAsia="Times New Roman" w:hAnsi="Arial" w:cs="Arial"/>
          <w:vanish/>
          <w:kern w:val="0"/>
          <w:sz w:val="16"/>
          <w:szCs w:val="16"/>
          <w:lang w:eastAsia="en-GB"/>
          <w14:ligatures w14:val="none"/>
        </w:rPr>
      </w:pPr>
      <w:r w:rsidRPr="00C53C1B">
        <w:rPr>
          <w:rFonts w:ascii="Arial" w:eastAsia="Times New Roman" w:hAnsi="Arial" w:cs="Arial"/>
          <w:vanish/>
          <w:kern w:val="0"/>
          <w:sz w:val="16"/>
          <w:szCs w:val="16"/>
          <w:lang w:eastAsia="en-GB"/>
          <w14:ligatures w14:val="none"/>
        </w:rPr>
        <w:t>Bottom of Form</w:t>
      </w:r>
    </w:p>
    <w:p w14:paraId="4A53B312" w14:textId="77777777" w:rsidR="00C53C1B" w:rsidRPr="00C53C1B" w:rsidRDefault="00C53C1B" w:rsidP="00C53C1B">
      <w:pPr>
        <w:shd w:val="clear" w:color="auto" w:fill="FFFFFF"/>
        <w:spacing w:after="0" w:line="240" w:lineRule="auto"/>
        <w:outlineLvl w:val="1"/>
        <w:rPr>
          <w:rFonts w:ascii="Arial" w:eastAsia="Times New Roman" w:hAnsi="Arial" w:cs="Arial"/>
          <w:color w:val="0B0C0C"/>
          <w:kern w:val="0"/>
          <w:sz w:val="36"/>
          <w:szCs w:val="36"/>
          <w:lang w:eastAsia="en-GB"/>
          <w14:ligatures w14:val="none"/>
        </w:rPr>
      </w:pPr>
      <w:r w:rsidRPr="00C53C1B">
        <w:rPr>
          <w:rFonts w:ascii="Arial" w:eastAsia="Times New Roman" w:hAnsi="Arial" w:cs="Arial"/>
          <w:color w:val="0B0C0C"/>
          <w:kern w:val="0"/>
          <w:sz w:val="36"/>
          <w:szCs w:val="36"/>
          <w:lang w:eastAsia="en-GB"/>
          <w14:ligatures w14:val="none"/>
        </w:rPr>
        <w:t>Contents</w:t>
      </w:r>
    </w:p>
    <w:p w14:paraId="08098871" w14:textId="77777777" w:rsidR="00C53C1B" w:rsidRPr="00C53C1B" w:rsidRDefault="00C53C1B" w:rsidP="00C53C1B">
      <w:pPr>
        <w:numPr>
          <w:ilvl w:val="0"/>
          <w:numId w:val="1"/>
        </w:numPr>
        <w:shd w:val="clear" w:color="auto" w:fill="FFFFFF"/>
        <w:spacing w:before="100" w:beforeAutospacing="1" w:after="100" w:afterAutospacing="1" w:line="240" w:lineRule="auto"/>
        <w:ind w:left="495"/>
        <w:rPr>
          <w:rFonts w:ascii="Arial" w:eastAsia="Times New Roman" w:hAnsi="Arial" w:cs="Arial"/>
          <w:color w:val="0B0C0C"/>
          <w:kern w:val="0"/>
          <w:sz w:val="27"/>
          <w:szCs w:val="27"/>
          <w:lang w:eastAsia="en-GB"/>
          <w14:ligatures w14:val="none"/>
        </w:rPr>
      </w:pPr>
      <w:hyperlink r:id="rId7" w:anchor="what-factors-can-be-taken-into-account-when-considering-the-potential-impact-of-development-on-the-openness-of-the-green-belt" w:history="1">
        <w:r w:rsidRPr="00C53C1B">
          <w:rPr>
            <w:rFonts w:ascii="Arial" w:eastAsia="Times New Roman" w:hAnsi="Arial" w:cs="Arial"/>
            <w:color w:val="1D70B8"/>
            <w:kern w:val="0"/>
            <w:sz w:val="27"/>
            <w:szCs w:val="27"/>
            <w:lang w:eastAsia="en-GB"/>
            <w14:ligatures w14:val="none"/>
          </w:rPr>
          <w:t>What factors can be taken into account when considering the potential impact of development on the openness of the Green Belt?</w:t>
        </w:r>
      </w:hyperlink>
    </w:p>
    <w:p w14:paraId="70C414CA" w14:textId="77777777" w:rsidR="00C53C1B" w:rsidRPr="00C53C1B" w:rsidRDefault="00C53C1B" w:rsidP="00C53C1B">
      <w:pPr>
        <w:numPr>
          <w:ilvl w:val="0"/>
          <w:numId w:val="1"/>
        </w:numPr>
        <w:shd w:val="clear" w:color="auto" w:fill="FFFFFF"/>
        <w:spacing w:before="100" w:beforeAutospacing="1" w:after="100" w:afterAutospacing="1" w:line="240" w:lineRule="auto"/>
        <w:ind w:left="495"/>
        <w:rPr>
          <w:rFonts w:ascii="Arial" w:eastAsia="Times New Roman" w:hAnsi="Arial" w:cs="Arial"/>
          <w:color w:val="0B0C0C"/>
          <w:kern w:val="0"/>
          <w:sz w:val="27"/>
          <w:szCs w:val="27"/>
          <w:lang w:eastAsia="en-GB"/>
          <w14:ligatures w14:val="none"/>
        </w:rPr>
      </w:pPr>
      <w:hyperlink r:id="rId8" w:anchor="how-might-plans-set-out-ways-in-which-the-impact-of-removing-land-from-the-green-belt-can-be-offset-by-compensatory-improvements" w:history="1">
        <w:r w:rsidRPr="00C53C1B">
          <w:rPr>
            <w:rFonts w:ascii="Arial" w:eastAsia="Times New Roman" w:hAnsi="Arial" w:cs="Arial"/>
            <w:color w:val="1D70B8"/>
            <w:kern w:val="0"/>
            <w:sz w:val="27"/>
            <w:szCs w:val="27"/>
            <w:lang w:eastAsia="en-GB"/>
            <w14:ligatures w14:val="none"/>
          </w:rPr>
          <w:t>How might plans set out ways in which the impact of removing land from the Green Belt can be offset by compensatory improvements?</w:t>
        </w:r>
      </w:hyperlink>
    </w:p>
    <w:p w14:paraId="2D5E7D00" w14:textId="77777777" w:rsidR="00C53C1B" w:rsidRPr="00C53C1B" w:rsidRDefault="00C53C1B" w:rsidP="00C53C1B">
      <w:pPr>
        <w:numPr>
          <w:ilvl w:val="0"/>
          <w:numId w:val="1"/>
        </w:numPr>
        <w:shd w:val="clear" w:color="auto" w:fill="FFFFFF"/>
        <w:spacing w:before="100" w:beforeAutospacing="1" w:after="100" w:afterAutospacing="1" w:line="240" w:lineRule="auto"/>
        <w:ind w:left="495"/>
        <w:rPr>
          <w:rFonts w:ascii="Arial" w:eastAsia="Times New Roman" w:hAnsi="Arial" w:cs="Arial"/>
          <w:color w:val="0B0C0C"/>
          <w:kern w:val="0"/>
          <w:sz w:val="27"/>
          <w:szCs w:val="27"/>
          <w:lang w:eastAsia="en-GB"/>
          <w14:ligatures w14:val="none"/>
        </w:rPr>
      </w:pPr>
      <w:hyperlink r:id="rId9" w:anchor="how-can-the-strategic-policy-making-authority-ensure-that-compensatory-improvements-to-the-environmental-quality-and-accessibility-of-the-green-belt-will-be-secured" w:history="1">
        <w:r w:rsidRPr="00C53C1B">
          <w:rPr>
            <w:rFonts w:ascii="Arial" w:eastAsia="Times New Roman" w:hAnsi="Arial" w:cs="Arial"/>
            <w:color w:val="1D70B8"/>
            <w:kern w:val="0"/>
            <w:sz w:val="27"/>
            <w:szCs w:val="27"/>
            <w:lang w:eastAsia="en-GB"/>
            <w14:ligatures w14:val="none"/>
          </w:rPr>
          <w:t>How can the strategic policy-making authority ensure that compensatory improvements to the environmental quality and accessibility of the Green Belt will be secured?</w:t>
        </w:r>
      </w:hyperlink>
    </w:p>
    <w:p w14:paraId="1CEE26F8" w14:textId="77777777" w:rsidR="00C53C1B" w:rsidRPr="00C53C1B" w:rsidRDefault="00C53C1B" w:rsidP="00C53C1B">
      <w:pPr>
        <w:shd w:val="clear" w:color="auto" w:fill="FFFFFF"/>
        <w:spacing w:line="240" w:lineRule="auto"/>
        <w:rPr>
          <w:rFonts w:ascii="Arial" w:eastAsia="Times New Roman" w:hAnsi="Arial" w:cs="Arial"/>
          <w:color w:val="000000"/>
          <w:kern w:val="0"/>
          <w:sz w:val="27"/>
          <w:szCs w:val="27"/>
          <w:lang w:eastAsia="en-GB"/>
          <w14:ligatures w14:val="none"/>
        </w:rPr>
      </w:pPr>
      <w:r w:rsidRPr="00C53C1B">
        <w:rPr>
          <w:rFonts w:ascii="Arial" w:eastAsia="Times New Roman" w:hAnsi="Arial" w:cs="Arial"/>
          <w:color w:val="000000"/>
          <w:kern w:val="0"/>
          <w:sz w:val="27"/>
          <w:szCs w:val="27"/>
          <w:lang w:eastAsia="en-GB"/>
          <w14:ligatures w14:val="none"/>
        </w:rPr>
        <w:t>Print this page</w:t>
      </w:r>
    </w:p>
    <w:p w14:paraId="7759B3E2" w14:textId="77777777" w:rsidR="00C53C1B" w:rsidRPr="00C53C1B" w:rsidRDefault="00C53C1B" w:rsidP="00C53C1B">
      <w:pPr>
        <w:shd w:val="clear" w:color="auto" w:fill="FFFFFF"/>
        <w:spacing w:after="0" w:line="240" w:lineRule="auto"/>
        <w:outlineLvl w:val="1"/>
        <w:rPr>
          <w:rFonts w:ascii="Arial" w:eastAsia="Times New Roman" w:hAnsi="Arial" w:cs="Arial"/>
          <w:b/>
          <w:bCs/>
          <w:color w:val="0B0C0C"/>
          <w:kern w:val="0"/>
          <w:sz w:val="36"/>
          <w:szCs w:val="36"/>
          <w:lang w:eastAsia="en-GB"/>
          <w14:ligatures w14:val="none"/>
        </w:rPr>
      </w:pPr>
      <w:r w:rsidRPr="00C53C1B">
        <w:rPr>
          <w:rFonts w:ascii="Arial" w:eastAsia="Times New Roman" w:hAnsi="Arial" w:cs="Arial"/>
          <w:b/>
          <w:bCs/>
          <w:color w:val="0B0C0C"/>
          <w:kern w:val="0"/>
          <w:sz w:val="36"/>
          <w:szCs w:val="36"/>
          <w:lang w:eastAsia="en-GB"/>
          <w14:ligatures w14:val="none"/>
        </w:rPr>
        <w:t>What factors can be taken into account when considering the potential impact of development on the openness of the Green Belt?</w:t>
      </w:r>
    </w:p>
    <w:p w14:paraId="4756E35B" w14:textId="77777777" w:rsidR="00C53C1B" w:rsidRPr="00C53C1B" w:rsidRDefault="00C53C1B" w:rsidP="00C53C1B">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C53C1B">
        <w:rPr>
          <w:rFonts w:ascii="Arial" w:eastAsia="Times New Roman" w:hAnsi="Arial" w:cs="Arial"/>
          <w:color w:val="0B0C0C"/>
          <w:kern w:val="0"/>
          <w:sz w:val="27"/>
          <w:szCs w:val="27"/>
          <w:lang w:eastAsia="en-GB"/>
          <w14:ligatures w14:val="none"/>
        </w:rPr>
        <w:t>Assessing the impact of a proposal on the </w:t>
      </w:r>
      <w:hyperlink r:id="rId10" w:history="1">
        <w:r w:rsidRPr="00C53C1B">
          <w:rPr>
            <w:rFonts w:ascii="Arial" w:eastAsia="Times New Roman" w:hAnsi="Arial" w:cs="Arial"/>
            <w:color w:val="1D70B8"/>
            <w:kern w:val="0"/>
            <w:sz w:val="27"/>
            <w:szCs w:val="27"/>
            <w:u w:val="single"/>
            <w:lang w:eastAsia="en-GB"/>
            <w14:ligatures w14:val="none"/>
          </w:rPr>
          <w:t>openness of the Green Belt</w:t>
        </w:r>
      </w:hyperlink>
      <w:r w:rsidRPr="00C53C1B">
        <w:rPr>
          <w:rFonts w:ascii="Arial" w:eastAsia="Times New Roman" w:hAnsi="Arial" w:cs="Arial"/>
          <w:color w:val="0B0C0C"/>
          <w:kern w:val="0"/>
          <w:sz w:val="27"/>
          <w:szCs w:val="27"/>
          <w:lang w:eastAsia="en-GB"/>
          <w14:ligatures w14:val="none"/>
        </w:rPr>
        <w:t>, where it is relevant to do so, requires a judgment based on the circumstances of the case. By way of example, the courts have identified a number of matters which may need to be taken into account in making this assessment. These include, but are not limited to:</w:t>
      </w:r>
    </w:p>
    <w:p w14:paraId="6B5CF671" w14:textId="77777777" w:rsidR="00C53C1B" w:rsidRPr="00C53C1B" w:rsidRDefault="00C53C1B" w:rsidP="00C53C1B">
      <w:pPr>
        <w:numPr>
          <w:ilvl w:val="0"/>
          <w:numId w:val="2"/>
        </w:numPr>
        <w:shd w:val="clear" w:color="auto" w:fill="FFFFFF"/>
        <w:spacing w:after="0" w:line="240" w:lineRule="auto"/>
        <w:ind w:left="795"/>
        <w:rPr>
          <w:rFonts w:ascii="Arial" w:eastAsia="Times New Roman" w:hAnsi="Arial" w:cs="Arial"/>
          <w:color w:val="0B0C0C"/>
          <w:kern w:val="0"/>
          <w:sz w:val="27"/>
          <w:szCs w:val="27"/>
          <w:lang w:eastAsia="en-GB"/>
          <w14:ligatures w14:val="none"/>
        </w:rPr>
      </w:pPr>
      <w:r w:rsidRPr="00C53C1B">
        <w:rPr>
          <w:rFonts w:ascii="Arial" w:eastAsia="Times New Roman" w:hAnsi="Arial" w:cs="Arial"/>
          <w:color w:val="0B0C0C"/>
          <w:kern w:val="0"/>
          <w:sz w:val="27"/>
          <w:szCs w:val="27"/>
          <w:lang w:eastAsia="en-GB"/>
          <w14:ligatures w14:val="none"/>
        </w:rPr>
        <w:t>openness is capable of having both spatial and visual aspects – in other words, the visual impact of the proposal may be relevant, as could its volume;</w:t>
      </w:r>
    </w:p>
    <w:p w14:paraId="68674BD4" w14:textId="77777777" w:rsidR="00C53C1B" w:rsidRPr="00C53C1B" w:rsidRDefault="00C53C1B" w:rsidP="00C53C1B">
      <w:pPr>
        <w:numPr>
          <w:ilvl w:val="0"/>
          <w:numId w:val="2"/>
        </w:numPr>
        <w:shd w:val="clear" w:color="auto" w:fill="FFFFFF"/>
        <w:spacing w:after="0" w:line="240" w:lineRule="auto"/>
        <w:ind w:left="795"/>
        <w:rPr>
          <w:rFonts w:ascii="Arial" w:eastAsia="Times New Roman" w:hAnsi="Arial" w:cs="Arial"/>
          <w:color w:val="0B0C0C"/>
          <w:kern w:val="0"/>
          <w:sz w:val="27"/>
          <w:szCs w:val="27"/>
          <w:lang w:eastAsia="en-GB"/>
          <w14:ligatures w14:val="none"/>
        </w:rPr>
      </w:pPr>
      <w:r w:rsidRPr="00C53C1B">
        <w:rPr>
          <w:rFonts w:ascii="Arial" w:eastAsia="Times New Roman" w:hAnsi="Arial" w:cs="Arial"/>
          <w:color w:val="0B0C0C"/>
          <w:kern w:val="0"/>
          <w:sz w:val="27"/>
          <w:szCs w:val="27"/>
          <w:lang w:eastAsia="en-GB"/>
          <w14:ligatures w14:val="none"/>
        </w:rPr>
        <w:t>the duration of the development, and its remediability – taking into account any provisions to return land to its original state or to an equivalent (or improved) state of openness; and</w:t>
      </w:r>
    </w:p>
    <w:p w14:paraId="5DD4EABE" w14:textId="77777777" w:rsidR="00C53C1B" w:rsidRPr="00C53C1B" w:rsidRDefault="00C53C1B" w:rsidP="00C53C1B">
      <w:pPr>
        <w:numPr>
          <w:ilvl w:val="0"/>
          <w:numId w:val="2"/>
        </w:numPr>
        <w:shd w:val="clear" w:color="auto" w:fill="FFFFFF"/>
        <w:spacing w:after="0" w:line="240" w:lineRule="auto"/>
        <w:ind w:left="795"/>
        <w:rPr>
          <w:rFonts w:ascii="Arial" w:eastAsia="Times New Roman" w:hAnsi="Arial" w:cs="Arial"/>
          <w:color w:val="0B0C0C"/>
          <w:kern w:val="0"/>
          <w:sz w:val="27"/>
          <w:szCs w:val="27"/>
          <w:lang w:eastAsia="en-GB"/>
          <w14:ligatures w14:val="none"/>
        </w:rPr>
      </w:pPr>
      <w:r w:rsidRPr="00C53C1B">
        <w:rPr>
          <w:rFonts w:ascii="Arial" w:eastAsia="Times New Roman" w:hAnsi="Arial" w:cs="Arial"/>
          <w:color w:val="0B0C0C"/>
          <w:kern w:val="0"/>
          <w:sz w:val="27"/>
          <w:szCs w:val="27"/>
          <w:lang w:eastAsia="en-GB"/>
          <w14:ligatures w14:val="none"/>
        </w:rPr>
        <w:t>the degree of activity likely to be generated, such as traffic generation.</w:t>
      </w:r>
    </w:p>
    <w:p w14:paraId="4C3E55FC" w14:textId="77777777" w:rsidR="00C53C1B" w:rsidRPr="00C53C1B" w:rsidRDefault="00C53C1B" w:rsidP="00C53C1B">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C53C1B">
        <w:rPr>
          <w:rFonts w:ascii="Arial" w:eastAsia="Times New Roman" w:hAnsi="Arial" w:cs="Arial"/>
          <w:color w:val="0B0C0C"/>
          <w:kern w:val="0"/>
          <w:sz w:val="27"/>
          <w:szCs w:val="27"/>
          <w:lang w:eastAsia="en-GB"/>
          <w14:ligatures w14:val="none"/>
        </w:rPr>
        <w:lastRenderedPageBreak/>
        <w:t>Paragraph: 001 Reference ID: 64-001-20190722</w:t>
      </w:r>
    </w:p>
    <w:p w14:paraId="0E759205" w14:textId="77777777" w:rsidR="00C53C1B" w:rsidRPr="00C53C1B" w:rsidRDefault="00C53C1B" w:rsidP="00C53C1B">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C53C1B">
        <w:rPr>
          <w:rFonts w:ascii="Arial" w:eastAsia="Times New Roman" w:hAnsi="Arial" w:cs="Arial"/>
          <w:color w:val="0B0C0C"/>
          <w:kern w:val="0"/>
          <w:sz w:val="27"/>
          <w:szCs w:val="27"/>
          <w:lang w:eastAsia="en-GB"/>
          <w14:ligatures w14:val="none"/>
        </w:rPr>
        <w:t>Revision date: 22 07 2019</w:t>
      </w:r>
    </w:p>
    <w:p w14:paraId="4F6F8BC1" w14:textId="77777777" w:rsidR="00C53C1B" w:rsidRPr="00C53C1B" w:rsidRDefault="00C53C1B" w:rsidP="00C53C1B">
      <w:pPr>
        <w:shd w:val="clear" w:color="auto" w:fill="FFFFFF"/>
        <w:spacing w:before="675" w:after="0" w:line="240" w:lineRule="auto"/>
        <w:outlineLvl w:val="1"/>
        <w:rPr>
          <w:rFonts w:ascii="Arial" w:eastAsia="Times New Roman" w:hAnsi="Arial" w:cs="Arial"/>
          <w:b/>
          <w:bCs/>
          <w:color w:val="0B0C0C"/>
          <w:kern w:val="0"/>
          <w:sz w:val="36"/>
          <w:szCs w:val="36"/>
          <w:lang w:eastAsia="en-GB"/>
          <w14:ligatures w14:val="none"/>
        </w:rPr>
      </w:pPr>
      <w:r w:rsidRPr="00C53C1B">
        <w:rPr>
          <w:rFonts w:ascii="Arial" w:eastAsia="Times New Roman" w:hAnsi="Arial" w:cs="Arial"/>
          <w:b/>
          <w:bCs/>
          <w:color w:val="0B0C0C"/>
          <w:kern w:val="0"/>
          <w:sz w:val="36"/>
          <w:szCs w:val="36"/>
          <w:lang w:eastAsia="en-GB"/>
          <w14:ligatures w14:val="none"/>
        </w:rPr>
        <w:t>How might plans set out ways in which the impact of removing land from the Green Belt can be offset by compensatory improvements?</w:t>
      </w:r>
    </w:p>
    <w:p w14:paraId="05513EF6" w14:textId="77777777" w:rsidR="00C53C1B" w:rsidRPr="00C53C1B" w:rsidRDefault="00C53C1B" w:rsidP="00C53C1B">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C53C1B">
        <w:rPr>
          <w:rFonts w:ascii="Arial" w:eastAsia="Times New Roman" w:hAnsi="Arial" w:cs="Arial"/>
          <w:color w:val="0B0C0C"/>
          <w:kern w:val="0"/>
          <w:sz w:val="27"/>
          <w:szCs w:val="27"/>
          <w:lang w:eastAsia="en-GB"/>
          <w14:ligatures w14:val="none"/>
        </w:rPr>
        <w:t>Where it has been demonstrated that it is </w:t>
      </w:r>
      <w:hyperlink r:id="rId11" w:history="1">
        <w:r w:rsidRPr="00C53C1B">
          <w:rPr>
            <w:rFonts w:ascii="Arial" w:eastAsia="Times New Roman" w:hAnsi="Arial" w:cs="Arial"/>
            <w:color w:val="1D70B8"/>
            <w:kern w:val="0"/>
            <w:sz w:val="27"/>
            <w:szCs w:val="27"/>
            <w:u w:val="single"/>
            <w:lang w:eastAsia="en-GB"/>
            <w14:ligatures w14:val="none"/>
          </w:rPr>
          <w:t>necessary to release Green Belt land for development</w:t>
        </w:r>
      </w:hyperlink>
      <w:r w:rsidRPr="00C53C1B">
        <w:rPr>
          <w:rFonts w:ascii="Arial" w:eastAsia="Times New Roman" w:hAnsi="Arial" w:cs="Arial"/>
          <w:color w:val="0B0C0C"/>
          <w:kern w:val="0"/>
          <w:sz w:val="27"/>
          <w:szCs w:val="27"/>
          <w:lang w:eastAsia="en-GB"/>
          <w14:ligatures w14:val="none"/>
        </w:rPr>
        <w:t>, strategic policy-making authorities should set out policies for compensatory improvements to the environmental quality and accessibility of the remaining Green Belt land. These may be informed by supporting evidence of landscape, biodiversity or recreational needs and opportunities including those set out in local strategies, and could for instance include:</w:t>
      </w:r>
    </w:p>
    <w:p w14:paraId="18E920A9" w14:textId="77777777" w:rsidR="00C53C1B" w:rsidRPr="00C53C1B" w:rsidRDefault="00C53C1B" w:rsidP="00C53C1B">
      <w:pPr>
        <w:numPr>
          <w:ilvl w:val="0"/>
          <w:numId w:val="3"/>
        </w:numPr>
        <w:shd w:val="clear" w:color="auto" w:fill="FFFFFF"/>
        <w:spacing w:after="0" w:line="240" w:lineRule="auto"/>
        <w:ind w:left="795"/>
        <w:rPr>
          <w:rFonts w:ascii="Arial" w:eastAsia="Times New Roman" w:hAnsi="Arial" w:cs="Arial"/>
          <w:color w:val="0B0C0C"/>
          <w:kern w:val="0"/>
          <w:sz w:val="27"/>
          <w:szCs w:val="27"/>
          <w:lang w:eastAsia="en-GB"/>
          <w14:ligatures w14:val="none"/>
        </w:rPr>
      </w:pPr>
      <w:r w:rsidRPr="00C53C1B">
        <w:rPr>
          <w:rFonts w:ascii="Arial" w:eastAsia="Times New Roman" w:hAnsi="Arial" w:cs="Arial"/>
          <w:color w:val="0B0C0C"/>
          <w:kern w:val="0"/>
          <w:sz w:val="27"/>
          <w:szCs w:val="27"/>
          <w:lang w:eastAsia="en-GB"/>
          <w14:ligatures w14:val="none"/>
        </w:rPr>
        <w:t>new or enhanced </w:t>
      </w:r>
      <w:hyperlink r:id="rId12" w:anchor="green-infrastructure" w:history="1">
        <w:r w:rsidRPr="00C53C1B">
          <w:rPr>
            <w:rFonts w:ascii="Arial" w:eastAsia="Times New Roman" w:hAnsi="Arial" w:cs="Arial"/>
            <w:color w:val="1D70B8"/>
            <w:kern w:val="0"/>
            <w:sz w:val="27"/>
            <w:szCs w:val="27"/>
            <w:u w:val="single"/>
            <w:lang w:eastAsia="en-GB"/>
            <w14:ligatures w14:val="none"/>
          </w:rPr>
          <w:t>green infrastructure</w:t>
        </w:r>
      </w:hyperlink>
      <w:r w:rsidRPr="00C53C1B">
        <w:rPr>
          <w:rFonts w:ascii="Arial" w:eastAsia="Times New Roman" w:hAnsi="Arial" w:cs="Arial"/>
          <w:color w:val="0B0C0C"/>
          <w:kern w:val="0"/>
          <w:sz w:val="27"/>
          <w:szCs w:val="27"/>
          <w:lang w:eastAsia="en-GB"/>
          <w14:ligatures w14:val="none"/>
        </w:rPr>
        <w:t>;</w:t>
      </w:r>
    </w:p>
    <w:p w14:paraId="4296BD33" w14:textId="77777777" w:rsidR="00C53C1B" w:rsidRPr="00C53C1B" w:rsidRDefault="00C53C1B" w:rsidP="00C53C1B">
      <w:pPr>
        <w:numPr>
          <w:ilvl w:val="0"/>
          <w:numId w:val="3"/>
        </w:numPr>
        <w:shd w:val="clear" w:color="auto" w:fill="FFFFFF"/>
        <w:spacing w:after="0" w:line="240" w:lineRule="auto"/>
        <w:ind w:left="795"/>
        <w:rPr>
          <w:rFonts w:ascii="Arial" w:eastAsia="Times New Roman" w:hAnsi="Arial" w:cs="Arial"/>
          <w:color w:val="0B0C0C"/>
          <w:kern w:val="0"/>
          <w:sz w:val="27"/>
          <w:szCs w:val="27"/>
          <w:lang w:eastAsia="en-GB"/>
          <w14:ligatures w14:val="none"/>
        </w:rPr>
      </w:pPr>
      <w:r w:rsidRPr="00C53C1B">
        <w:rPr>
          <w:rFonts w:ascii="Arial" w:eastAsia="Times New Roman" w:hAnsi="Arial" w:cs="Arial"/>
          <w:color w:val="0B0C0C"/>
          <w:kern w:val="0"/>
          <w:sz w:val="27"/>
          <w:szCs w:val="27"/>
          <w:lang w:eastAsia="en-GB"/>
          <w14:ligatures w14:val="none"/>
        </w:rPr>
        <w:t>woodland planting;</w:t>
      </w:r>
    </w:p>
    <w:p w14:paraId="2BE52425" w14:textId="77777777" w:rsidR="00C53C1B" w:rsidRPr="00C53C1B" w:rsidRDefault="00C53C1B" w:rsidP="00C53C1B">
      <w:pPr>
        <w:numPr>
          <w:ilvl w:val="0"/>
          <w:numId w:val="3"/>
        </w:numPr>
        <w:shd w:val="clear" w:color="auto" w:fill="FFFFFF"/>
        <w:spacing w:after="0" w:line="240" w:lineRule="auto"/>
        <w:ind w:left="795"/>
        <w:rPr>
          <w:rFonts w:ascii="Arial" w:eastAsia="Times New Roman" w:hAnsi="Arial" w:cs="Arial"/>
          <w:color w:val="0B0C0C"/>
          <w:kern w:val="0"/>
          <w:sz w:val="27"/>
          <w:szCs w:val="27"/>
          <w:lang w:eastAsia="en-GB"/>
          <w14:ligatures w14:val="none"/>
        </w:rPr>
      </w:pPr>
      <w:r w:rsidRPr="00C53C1B">
        <w:rPr>
          <w:rFonts w:ascii="Arial" w:eastAsia="Times New Roman" w:hAnsi="Arial" w:cs="Arial"/>
          <w:color w:val="0B0C0C"/>
          <w:kern w:val="0"/>
          <w:sz w:val="27"/>
          <w:szCs w:val="27"/>
          <w:lang w:eastAsia="en-GB"/>
          <w14:ligatures w14:val="none"/>
        </w:rPr>
        <w:t>landscape and visual enhancements (beyond those needed to mitigate the immediate impacts of the proposal);</w:t>
      </w:r>
    </w:p>
    <w:p w14:paraId="10A87862" w14:textId="77777777" w:rsidR="00C53C1B" w:rsidRPr="00C53C1B" w:rsidRDefault="00C53C1B" w:rsidP="00C53C1B">
      <w:pPr>
        <w:numPr>
          <w:ilvl w:val="0"/>
          <w:numId w:val="3"/>
        </w:numPr>
        <w:shd w:val="clear" w:color="auto" w:fill="FFFFFF"/>
        <w:spacing w:after="0" w:line="240" w:lineRule="auto"/>
        <w:ind w:left="795"/>
        <w:rPr>
          <w:rFonts w:ascii="Arial" w:eastAsia="Times New Roman" w:hAnsi="Arial" w:cs="Arial"/>
          <w:color w:val="0B0C0C"/>
          <w:kern w:val="0"/>
          <w:sz w:val="27"/>
          <w:szCs w:val="27"/>
          <w:lang w:eastAsia="en-GB"/>
          <w14:ligatures w14:val="none"/>
        </w:rPr>
      </w:pPr>
      <w:hyperlink r:id="rId13" w:anchor="biodiversity-geodiversity-and-ecosystems" w:history="1">
        <w:r w:rsidRPr="00C53C1B">
          <w:rPr>
            <w:rFonts w:ascii="Arial" w:eastAsia="Times New Roman" w:hAnsi="Arial" w:cs="Arial"/>
            <w:color w:val="1D70B8"/>
            <w:kern w:val="0"/>
            <w:sz w:val="27"/>
            <w:szCs w:val="27"/>
            <w:u w:val="single"/>
            <w:lang w:eastAsia="en-GB"/>
            <w14:ligatures w14:val="none"/>
          </w:rPr>
          <w:t>improvements to biodiversity</w:t>
        </w:r>
      </w:hyperlink>
      <w:r w:rsidRPr="00C53C1B">
        <w:rPr>
          <w:rFonts w:ascii="Arial" w:eastAsia="Times New Roman" w:hAnsi="Arial" w:cs="Arial"/>
          <w:color w:val="0B0C0C"/>
          <w:kern w:val="0"/>
          <w:sz w:val="27"/>
          <w:szCs w:val="27"/>
          <w:lang w:eastAsia="en-GB"/>
          <w14:ligatures w14:val="none"/>
        </w:rPr>
        <w:t>, habitat connectivity and natural capital;</w:t>
      </w:r>
    </w:p>
    <w:p w14:paraId="2A1F1262" w14:textId="77777777" w:rsidR="00C53C1B" w:rsidRPr="00C53C1B" w:rsidRDefault="00C53C1B" w:rsidP="00C53C1B">
      <w:pPr>
        <w:numPr>
          <w:ilvl w:val="0"/>
          <w:numId w:val="3"/>
        </w:numPr>
        <w:shd w:val="clear" w:color="auto" w:fill="FFFFFF"/>
        <w:spacing w:after="0" w:line="240" w:lineRule="auto"/>
        <w:ind w:left="795"/>
        <w:rPr>
          <w:rFonts w:ascii="Arial" w:eastAsia="Times New Roman" w:hAnsi="Arial" w:cs="Arial"/>
          <w:color w:val="0B0C0C"/>
          <w:kern w:val="0"/>
          <w:sz w:val="27"/>
          <w:szCs w:val="27"/>
          <w:lang w:eastAsia="en-GB"/>
          <w14:ligatures w14:val="none"/>
        </w:rPr>
      </w:pPr>
      <w:r w:rsidRPr="00C53C1B">
        <w:rPr>
          <w:rFonts w:ascii="Arial" w:eastAsia="Times New Roman" w:hAnsi="Arial" w:cs="Arial"/>
          <w:color w:val="0B0C0C"/>
          <w:kern w:val="0"/>
          <w:sz w:val="27"/>
          <w:szCs w:val="27"/>
          <w:lang w:eastAsia="en-GB"/>
          <w14:ligatures w14:val="none"/>
        </w:rPr>
        <w:t>new or enhanced walking and cycle routes; and</w:t>
      </w:r>
    </w:p>
    <w:p w14:paraId="0510F7B9" w14:textId="77777777" w:rsidR="00C53C1B" w:rsidRPr="00C53C1B" w:rsidRDefault="00C53C1B" w:rsidP="00C53C1B">
      <w:pPr>
        <w:numPr>
          <w:ilvl w:val="0"/>
          <w:numId w:val="3"/>
        </w:numPr>
        <w:shd w:val="clear" w:color="auto" w:fill="FFFFFF"/>
        <w:spacing w:after="0" w:line="240" w:lineRule="auto"/>
        <w:ind w:left="795"/>
        <w:rPr>
          <w:rFonts w:ascii="Arial" w:eastAsia="Times New Roman" w:hAnsi="Arial" w:cs="Arial"/>
          <w:color w:val="0B0C0C"/>
          <w:kern w:val="0"/>
          <w:sz w:val="27"/>
          <w:szCs w:val="27"/>
          <w:lang w:eastAsia="en-GB"/>
          <w14:ligatures w14:val="none"/>
        </w:rPr>
      </w:pPr>
      <w:r w:rsidRPr="00C53C1B">
        <w:rPr>
          <w:rFonts w:ascii="Arial" w:eastAsia="Times New Roman" w:hAnsi="Arial" w:cs="Arial"/>
          <w:color w:val="0B0C0C"/>
          <w:kern w:val="0"/>
          <w:sz w:val="27"/>
          <w:szCs w:val="27"/>
          <w:lang w:eastAsia="en-GB"/>
          <w14:ligatures w14:val="none"/>
        </w:rPr>
        <w:t>improved access to new, enhanced or existing recreational and playing field provision.</w:t>
      </w:r>
    </w:p>
    <w:p w14:paraId="76FC1792" w14:textId="77777777" w:rsidR="00C53C1B" w:rsidRPr="00C53C1B" w:rsidRDefault="00C53C1B" w:rsidP="00C53C1B">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C53C1B">
        <w:rPr>
          <w:rFonts w:ascii="Arial" w:eastAsia="Times New Roman" w:hAnsi="Arial" w:cs="Arial"/>
          <w:color w:val="0B0C0C"/>
          <w:kern w:val="0"/>
          <w:sz w:val="27"/>
          <w:szCs w:val="27"/>
          <w:lang w:eastAsia="en-GB"/>
          <w14:ligatures w14:val="none"/>
        </w:rPr>
        <w:t>Paragraph: 002 Reference ID: 64-002-20190722</w:t>
      </w:r>
    </w:p>
    <w:p w14:paraId="4021320D" w14:textId="77777777" w:rsidR="00C53C1B" w:rsidRPr="00C53C1B" w:rsidRDefault="00C53C1B" w:rsidP="00C53C1B">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C53C1B">
        <w:rPr>
          <w:rFonts w:ascii="Arial" w:eastAsia="Times New Roman" w:hAnsi="Arial" w:cs="Arial"/>
          <w:color w:val="0B0C0C"/>
          <w:kern w:val="0"/>
          <w:sz w:val="27"/>
          <w:szCs w:val="27"/>
          <w:lang w:eastAsia="en-GB"/>
          <w14:ligatures w14:val="none"/>
        </w:rPr>
        <w:t>Revision date: 22 07 2019</w:t>
      </w:r>
    </w:p>
    <w:p w14:paraId="5489F9DC" w14:textId="77777777" w:rsidR="00C53C1B" w:rsidRPr="00C53C1B" w:rsidRDefault="00C53C1B" w:rsidP="00C53C1B">
      <w:pPr>
        <w:shd w:val="clear" w:color="auto" w:fill="FFFFFF"/>
        <w:spacing w:before="675" w:after="0" w:line="240" w:lineRule="auto"/>
        <w:outlineLvl w:val="1"/>
        <w:rPr>
          <w:rFonts w:ascii="Arial" w:eastAsia="Times New Roman" w:hAnsi="Arial" w:cs="Arial"/>
          <w:b/>
          <w:bCs/>
          <w:color w:val="0B0C0C"/>
          <w:kern w:val="0"/>
          <w:sz w:val="36"/>
          <w:szCs w:val="36"/>
          <w:lang w:eastAsia="en-GB"/>
          <w14:ligatures w14:val="none"/>
        </w:rPr>
      </w:pPr>
      <w:r w:rsidRPr="00C53C1B">
        <w:rPr>
          <w:rFonts w:ascii="Arial" w:eastAsia="Times New Roman" w:hAnsi="Arial" w:cs="Arial"/>
          <w:b/>
          <w:bCs/>
          <w:color w:val="0B0C0C"/>
          <w:kern w:val="0"/>
          <w:sz w:val="36"/>
          <w:szCs w:val="36"/>
          <w:lang w:eastAsia="en-GB"/>
          <w14:ligatures w14:val="none"/>
        </w:rPr>
        <w:t>How can the strategic policy-making authority ensure that compensatory improvements to the environmental quality and accessibility of the Green Belt will be secured?</w:t>
      </w:r>
    </w:p>
    <w:p w14:paraId="4C433E4B" w14:textId="77777777" w:rsidR="00C53C1B" w:rsidRPr="00C53C1B" w:rsidRDefault="00C53C1B" w:rsidP="00C53C1B">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C53C1B">
        <w:rPr>
          <w:rFonts w:ascii="Arial" w:eastAsia="Times New Roman" w:hAnsi="Arial" w:cs="Arial"/>
          <w:color w:val="0B0C0C"/>
          <w:kern w:val="0"/>
          <w:sz w:val="27"/>
          <w:szCs w:val="27"/>
          <w:lang w:eastAsia="en-GB"/>
          <w14:ligatures w14:val="none"/>
        </w:rPr>
        <w:t>Identifying the scope for compensatory improvements is likely to require early engagement with landowners and other interest groups, once the areas of land necessary for release have been identified. Consideration will need to be given to:</w:t>
      </w:r>
    </w:p>
    <w:p w14:paraId="4AB9A720" w14:textId="77777777" w:rsidR="00C53C1B" w:rsidRPr="00C53C1B" w:rsidRDefault="00C53C1B" w:rsidP="00C53C1B">
      <w:pPr>
        <w:numPr>
          <w:ilvl w:val="0"/>
          <w:numId w:val="4"/>
        </w:numPr>
        <w:shd w:val="clear" w:color="auto" w:fill="FFFFFF"/>
        <w:spacing w:after="0" w:line="240" w:lineRule="auto"/>
        <w:ind w:left="795"/>
        <w:rPr>
          <w:rFonts w:ascii="Arial" w:eastAsia="Times New Roman" w:hAnsi="Arial" w:cs="Arial"/>
          <w:color w:val="0B0C0C"/>
          <w:kern w:val="0"/>
          <w:sz w:val="27"/>
          <w:szCs w:val="27"/>
          <w:lang w:eastAsia="en-GB"/>
          <w14:ligatures w14:val="none"/>
        </w:rPr>
      </w:pPr>
      <w:r w:rsidRPr="00C53C1B">
        <w:rPr>
          <w:rFonts w:ascii="Arial" w:eastAsia="Times New Roman" w:hAnsi="Arial" w:cs="Arial"/>
          <w:color w:val="0B0C0C"/>
          <w:kern w:val="0"/>
          <w:sz w:val="27"/>
          <w:szCs w:val="27"/>
          <w:lang w:eastAsia="en-GB"/>
          <w14:ligatures w14:val="none"/>
        </w:rPr>
        <w:t>land ownership, in relation to both land that is proposed to be released for development and that which may be most suitable for compensatory improvements for which contributions may be sought;</w:t>
      </w:r>
    </w:p>
    <w:p w14:paraId="4F4D5555" w14:textId="77777777" w:rsidR="00C53C1B" w:rsidRPr="00C53C1B" w:rsidRDefault="00C53C1B" w:rsidP="00C53C1B">
      <w:pPr>
        <w:numPr>
          <w:ilvl w:val="0"/>
          <w:numId w:val="4"/>
        </w:numPr>
        <w:shd w:val="clear" w:color="auto" w:fill="FFFFFF"/>
        <w:spacing w:after="0" w:line="240" w:lineRule="auto"/>
        <w:ind w:left="795"/>
        <w:rPr>
          <w:rFonts w:ascii="Arial" w:eastAsia="Times New Roman" w:hAnsi="Arial" w:cs="Arial"/>
          <w:color w:val="0B0C0C"/>
          <w:kern w:val="0"/>
          <w:sz w:val="27"/>
          <w:szCs w:val="27"/>
          <w:lang w:eastAsia="en-GB"/>
          <w14:ligatures w14:val="none"/>
        </w:rPr>
      </w:pPr>
      <w:r w:rsidRPr="00C53C1B">
        <w:rPr>
          <w:rFonts w:ascii="Arial" w:eastAsia="Times New Roman" w:hAnsi="Arial" w:cs="Arial"/>
          <w:color w:val="0B0C0C"/>
          <w:kern w:val="0"/>
          <w:sz w:val="27"/>
          <w:szCs w:val="27"/>
          <w:lang w:eastAsia="en-GB"/>
          <w14:ligatures w14:val="none"/>
        </w:rPr>
        <w:t>the scope of works that would be needed to implement the identified improvements, such as new public rights of way, land remediation, natural capital enhancement or habitat creation and enhancement, and their implications for </w:t>
      </w:r>
      <w:hyperlink r:id="rId14" w:history="1">
        <w:r w:rsidRPr="00C53C1B">
          <w:rPr>
            <w:rFonts w:ascii="Arial" w:eastAsia="Times New Roman" w:hAnsi="Arial" w:cs="Arial"/>
            <w:color w:val="1D70B8"/>
            <w:kern w:val="0"/>
            <w:sz w:val="27"/>
            <w:szCs w:val="27"/>
            <w:u w:val="single"/>
            <w:lang w:eastAsia="en-GB"/>
            <w14:ligatures w14:val="none"/>
          </w:rPr>
          <w:t>deliverability</w:t>
        </w:r>
      </w:hyperlink>
      <w:r w:rsidRPr="00C53C1B">
        <w:rPr>
          <w:rFonts w:ascii="Arial" w:eastAsia="Times New Roman" w:hAnsi="Arial" w:cs="Arial"/>
          <w:color w:val="0B0C0C"/>
          <w:kern w:val="0"/>
          <w:sz w:val="27"/>
          <w:szCs w:val="27"/>
          <w:lang w:eastAsia="en-GB"/>
          <w14:ligatures w14:val="none"/>
        </w:rPr>
        <w:t>;</w:t>
      </w:r>
    </w:p>
    <w:p w14:paraId="64CF8E7F" w14:textId="77777777" w:rsidR="00C53C1B" w:rsidRPr="00C53C1B" w:rsidRDefault="00C53C1B" w:rsidP="00C53C1B">
      <w:pPr>
        <w:numPr>
          <w:ilvl w:val="0"/>
          <w:numId w:val="4"/>
        </w:numPr>
        <w:shd w:val="clear" w:color="auto" w:fill="FFFFFF"/>
        <w:spacing w:after="0" w:line="240" w:lineRule="auto"/>
        <w:ind w:left="795"/>
        <w:rPr>
          <w:rFonts w:ascii="Arial" w:eastAsia="Times New Roman" w:hAnsi="Arial" w:cs="Arial"/>
          <w:color w:val="0B0C0C"/>
          <w:kern w:val="0"/>
          <w:sz w:val="27"/>
          <w:szCs w:val="27"/>
          <w:lang w:eastAsia="en-GB"/>
          <w14:ligatures w14:val="none"/>
        </w:rPr>
      </w:pPr>
      <w:r w:rsidRPr="00C53C1B">
        <w:rPr>
          <w:rFonts w:ascii="Arial" w:eastAsia="Times New Roman" w:hAnsi="Arial" w:cs="Arial"/>
          <w:color w:val="0B0C0C"/>
          <w:kern w:val="0"/>
          <w:sz w:val="27"/>
          <w:szCs w:val="27"/>
          <w:lang w:eastAsia="en-GB"/>
          <w14:ligatures w14:val="none"/>
        </w:rPr>
        <w:t>the appropriate use of </w:t>
      </w:r>
      <w:hyperlink r:id="rId15" w:history="1">
        <w:r w:rsidRPr="00C53C1B">
          <w:rPr>
            <w:rFonts w:ascii="Arial" w:eastAsia="Times New Roman" w:hAnsi="Arial" w:cs="Arial"/>
            <w:color w:val="1D70B8"/>
            <w:kern w:val="0"/>
            <w:sz w:val="27"/>
            <w:szCs w:val="27"/>
            <w:u w:val="single"/>
            <w:lang w:eastAsia="en-GB"/>
            <w14:ligatures w14:val="none"/>
          </w:rPr>
          <w:t>conditions</w:t>
        </w:r>
      </w:hyperlink>
      <w:r w:rsidRPr="00C53C1B">
        <w:rPr>
          <w:rFonts w:ascii="Arial" w:eastAsia="Times New Roman" w:hAnsi="Arial" w:cs="Arial"/>
          <w:color w:val="0B0C0C"/>
          <w:kern w:val="0"/>
          <w:sz w:val="27"/>
          <w:szCs w:val="27"/>
          <w:lang w:eastAsia="en-GB"/>
          <w14:ligatures w14:val="none"/>
        </w:rPr>
        <w:t>, </w:t>
      </w:r>
      <w:hyperlink r:id="rId16" w:anchor="negatively-worded" w:history="1">
        <w:r w:rsidRPr="00C53C1B">
          <w:rPr>
            <w:rFonts w:ascii="Arial" w:eastAsia="Times New Roman" w:hAnsi="Arial" w:cs="Arial"/>
            <w:color w:val="1D70B8"/>
            <w:kern w:val="0"/>
            <w:sz w:val="27"/>
            <w:szCs w:val="27"/>
            <w:u w:val="single"/>
            <w:lang w:eastAsia="en-GB"/>
            <w14:ligatures w14:val="none"/>
          </w:rPr>
          <w:t>section 106 obligations</w:t>
        </w:r>
      </w:hyperlink>
      <w:r w:rsidRPr="00C53C1B">
        <w:rPr>
          <w:rFonts w:ascii="Arial" w:eastAsia="Times New Roman" w:hAnsi="Arial" w:cs="Arial"/>
          <w:color w:val="0B0C0C"/>
          <w:kern w:val="0"/>
          <w:sz w:val="27"/>
          <w:szCs w:val="27"/>
          <w:lang w:eastAsia="en-GB"/>
          <w14:ligatures w14:val="none"/>
        </w:rPr>
        <w:t> and the </w:t>
      </w:r>
      <w:hyperlink r:id="rId17" w:history="1">
        <w:r w:rsidRPr="00C53C1B">
          <w:rPr>
            <w:rFonts w:ascii="Arial" w:eastAsia="Times New Roman" w:hAnsi="Arial" w:cs="Arial"/>
            <w:color w:val="1D70B8"/>
            <w:kern w:val="0"/>
            <w:sz w:val="27"/>
            <w:szCs w:val="27"/>
            <w:u w:val="single"/>
            <w:lang w:eastAsia="en-GB"/>
            <w14:ligatures w14:val="none"/>
          </w:rPr>
          <w:t>Community Infrastructure Levy</w:t>
        </w:r>
      </w:hyperlink>
      <w:r w:rsidRPr="00C53C1B">
        <w:rPr>
          <w:rFonts w:ascii="Arial" w:eastAsia="Times New Roman" w:hAnsi="Arial" w:cs="Arial"/>
          <w:color w:val="0B0C0C"/>
          <w:kern w:val="0"/>
          <w:sz w:val="27"/>
          <w:szCs w:val="27"/>
          <w:lang w:eastAsia="en-GB"/>
          <w14:ligatures w14:val="none"/>
        </w:rPr>
        <w:t>, to secure the improvements where possible. Section 106 agreements could be used to secure long-term maintenance of sites.</w:t>
      </w:r>
    </w:p>
    <w:p w14:paraId="099A7834" w14:textId="77777777" w:rsidR="00C53C1B" w:rsidRPr="00C53C1B" w:rsidRDefault="00C53C1B" w:rsidP="00C53C1B">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C53C1B">
        <w:rPr>
          <w:rFonts w:ascii="Arial" w:eastAsia="Times New Roman" w:hAnsi="Arial" w:cs="Arial"/>
          <w:color w:val="0B0C0C"/>
          <w:kern w:val="0"/>
          <w:sz w:val="27"/>
          <w:szCs w:val="27"/>
          <w:lang w:eastAsia="en-GB"/>
          <w14:ligatures w14:val="none"/>
        </w:rPr>
        <w:t>Paragraph: 003 Reference ID: 64-003-20190722</w:t>
      </w:r>
    </w:p>
    <w:p w14:paraId="0602231C" w14:textId="77777777" w:rsidR="00C53C1B" w:rsidRPr="00C53C1B" w:rsidRDefault="00C53C1B" w:rsidP="00C53C1B">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C53C1B">
        <w:rPr>
          <w:rFonts w:ascii="Arial" w:eastAsia="Times New Roman" w:hAnsi="Arial" w:cs="Arial"/>
          <w:color w:val="0B0C0C"/>
          <w:kern w:val="0"/>
          <w:sz w:val="27"/>
          <w:szCs w:val="27"/>
          <w:lang w:eastAsia="en-GB"/>
          <w14:ligatures w14:val="none"/>
        </w:rPr>
        <w:t>Revision date: 22 07 2019</w:t>
      </w:r>
    </w:p>
    <w:p w14:paraId="1B098FD6" w14:textId="77777777" w:rsidR="00C53C1B" w:rsidRPr="00C53C1B" w:rsidRDefault="00C53C1B" w:rsidP="00C53C1B">
      <w:pPr>
        <w:shd w:val="clear" w:color="auto" w:fill="FFFFFF"/>
        <w:spacing w:line="348" w:lineRule="atLeast"/>
        <w:rPr>
          <w:rFonts w:ascii="Arial" w:eastAsia="Times New Roman" w:hAnsi="Arial" w:cs="Arial"/>
          <w:color w:val="0B0C0C"/>
          <w:kern w:val="0"/>
          <w:sz w:val="27"/>
          <w:szCs w:val="27"/>
          <w:lang w:val="en" w:eastAsia="en-GB"/>
          <w14:ligatures w14:val="none"/>
        </w:rPr>
      </w:pPr>
      <w:r w:rsidRPr="00C53C1B">
        <w:rPr>
          <w:rFonts w:ascii="Arial" w:eastAsia="Times New Roman" w:hAnsi="Arial" w:cs="Arial"/>
          <w:color w:val="0B0C0C"/>
          <w:kern w:val="0"/>
          <w:sz w:val="27"/>
          <w:szCs w:val="27"/>
          <w:lang w:val="en" w:eastAsia="en-GB"/>
          <w14:ligatures w14:val="none"/>
        </w:rPr>
        <w:t>Published 22 July 2019</w:t>
      </w:r>
    </w:p>
    <w:p w14:paraId="0BA9FC08" w14:textId="77777777" w:rsidR="00BD5C26" w:rsidRDefault="00BD5C26"/>
    <w:sectPr w:rsidR="00BD5C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3530"/>
    <w:multiLevelType w:val="multilevel"/>
    <w:tmpl w:val="533C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692B3F"/>
    <w:multiLevelType w:val="multilevel"/>
    <w:tmpl w:val="B570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5F3F7E"/>
    <w:multiLevelType w:val="multilevel"/>
    <w:tmpl w:val="EAA2E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145756"/>
    <w:multiLevelType w:val="multilevel"/>
    <w:tmpl w:val="6A58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89477948">
    <w:abstractNumId w:val="2"/>
  </w:num>
  <w:num w:numId="2" w16cid:durableId="1413357919">
    <w:abstractNumId w:val="1"/>
  </w:num>
  <w:num w:numId="3" w16cid:durableId="1856184751">
    <w:abstractNumId w:val="0"/>
  </w:num>
  <w:num w:numId="4" w16cid:durableId="6840956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C1B"/>
    <w:rsid w:val="00BD5C26"/>
    <w:rsid w:val="00C53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0349F"/>
  <w15:chartTrackingRefBased/>
  <w15:docId w15:val="{28486B29-11D9-4AE5-A7FF-D1406ED6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05126">
      <w:bodyDiv w:val="1"/>
      <w:marLeft w:val="0"/>
      <w:marRight w:val="0"/>
      <w:marTop w:val="0"/>
      <w:marBottom w:val="0"/>
      <w:divBdr>
        <w:top w:val="none" w:sz="0" w:space="0" w:color="auto"/>
        <w:left w:val="none" w:sz="0" w:space="0" w:color="auto"/>
        <w:bottom w:val="none" w:sz="0" w:space="0" w:color="auto"/>
        <w:right w:val="none" w:sz="0" w:space="0" w:color="auto"/>
      </w:divBdr>
      <w:divsChild>
        <w:div w:id="2132241884">
          <w:marLeft w:val="-225"/>
          <w:marRight w:val="-225"/>
          <w:marTop w:val="0"/>
          <w:marBottom w:val="0"/>
          <w:divBdr>
            <w:top w:val="none" w:sz="0" w:space="0" w:color="auto"/>
            <w:left w:val="none" w:sz="0" w:space="0" w:color="auto"/>
            <w:bottom w:val="none" w:sz="0" w:space="0" w:color="auto"/>
            <w:right w:val="none" w:sz="0" w:space="0" w:color="auto"/>
          </w:divBdr>
          <w:divsChild>
            <w:div w:id="1693922365">
              <w:marLeft w:val="0"/>
              <w:marRight w:val="0"/>
              <w:marTop w:val="0"/>
              <w:marBottom w:val="0"/>
              <w:divBdr>
                <w:top w:val="none" w:sz="0" w:space="0" w:color="auto"/>
                <w:left w:val="none" w:sz="0" w:space="0" w:color="auto"/>
                <w:bottom w:val="none" w:sz="0" w:space="0" w:color="auto"/>
                <w:right w:val="none" w:sz="0" w:space="0" w:color="auto"/>
              </w:divBdr>
              <w:divsChild>
                <w:div w:id="1597521557">
                  <w:marLeft w:val="0"/>
                  <w:marRight w:val="0"/>
                  <w:marTop w:val="750"/>
                  <w:marBottom w:val="750"/>
                  <w:divBdr>
                    <w:top w:val="none" w:sz="0" w:space="0" w:color="auto"/>
                    <w:left w:val="none" w:sz="0" w:space="0" w:color="auto"/>
                    <w:bottom w:val="none" w:sz="0" w:space="0" w:color="auto"/>
                    <w:right w:val="none" w:sz="0" w:space="0" w:color="auto"/>
                  </w:divBdr>
                </w:div>
              </w:divsChild>
            </w:div>
            <w:div w:id="847790121">
              <w:marLeft w:val="0"/>
              <w:marRight w:val="0"/>
              <w:marTop w:val="0"/>
              <w:marBottom w:val="0"/>
              <w:divBdr>
                <w:top w:val="none" w:sz="0" w:space="0" w:color="auto"/>
                <w:left w:val="none" w:sz="0" w:space="0" w:color="auto"/>
                <w:bottom w:val="none" w:sz="0" w:space="0" w:color="auto"/>
                <w:right w:val="none" w:sz="0" w:space="0" w:color="auto"/>
              </w:divBdr>
            </w:div>
          </w:divsChild>
        </w:div>
        <w:div w:id="525750802">
          <w:marLeft w:val="-225"/>
          <w:marRight w:val="-225"/>
          <w:marTop w:val="0"/>
          <w:marBottom w:val="0"/>
          <w:divBdr>
            <w:top w:val="none" w:sz="0" w:space="0" w:color="auto"/>
            <w:left w:val="none" w:sz="0" w:space="0" w:color="auto"/>
            <w:bottom w:val="none" w:sz="0" w:space="0" w:color="auto"/>
            <w:right w:val="none" w:sz="0" w:space="0" w:color="auto"/>
          </w:divBdr>
          <w:divsChild>
            <w:div w:id="1379478435">
              <w:marLeft w:val="225"/>
              <w:marRight w:val="225"/>
              <w:marTop w:val="0"/>
              <w:marBottom w:val="0"/>
              <w:divBdr>
                <w:top w:val="single" w:sz="6" w:space="0" w:color="B1B4B6"/>
                <w:left w:val="none" w:sz="0" w:space="0" w:color="auto"/>
                <w:bottom w:val="none" w:sz="0" w:space="0" w:color="auto"/>
                <w:right w:val="none" w:sz="0" w:space="0" w:color="auto"/>
              </w:divBdr>
              <w:divsChild>
                <w:div w:id="1723214269">
                  <w:marLeft w:val="0"/>
                  <w:marRight w:val="0"/>
                  <w:marTop w:val="0"/>
                  <w:marBottom w:val="0"/>
                  <w:divBdr>
                    <w:top w:val="none" w:sz="0" w:space="0" w:color="auto"/>
                    <w:left w:val="none" w:sz="0" w:space="0" w:color="auto"/>
                    <w:bottom w:val="none" w:sz="0" w:space="0" w:color="auto"/>
                    <w:right w:val="none" w:sz="0" w:space="0" w:color="auto"/>
                  </w:divBdr>
                  <w:divsChild>
                    <w:div w:id="103758658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19786434">
          <w:marLeft w:val="0"/>
          <w:marRight w:val="0"/>
          <w:marTop w:val="0"/>
          <w:marBottom w:val="450"/>
          <w:divBdr>
            <w:top w:val="none" w:sz="0" w:space="0" w:color="auto"/>
            <w:left w:val="none" w:sz="0" w:space="0" w:color="auto"/>
            <w:bottom w:val="none" w:sz="0" w:space="0" w:color="auto"/>
            <w:right w:val="none" w:sz="0" w:space="0" w:color="auto"/>
          </w:divBdr>
        </w:div>
        <w:div w:id="145096705">
          <w:marLeft w:val="-225"/>
          <w:marRight w:val="-225"/>
          <w:marTop w:val="0"/>
          <w:marBottom w:val="0"/>
          <w:divBdr>
            <w:top w:val="none" w:sz="0" w:space="0" w:color="auto"/>
            <w:left w:val="none" w:sz="0" w:space="0" w:color="auto"/>
            <w:bottom w:val="none" w:sz="0" w:space="0" w:color="auto"/>
            <w:right w:val="none" w:sz="0" w:space="0" w:color="auto"/>
          </w:divBdr>
          <w:divsChild>
            <w:div w:id="42217929">
              <w:marLeft w:val="0"/>
              <w:marRight w:val="0"/>
              <w:marTop w:val="0"/>
              <w:marBottom w:val="0"/>
              <w:divBdr>
                <w:top w:val="none" w:sz="0" w:space="0" w:color="auto"/>
                <w:left w:val="none" w:sz="0" w:space="0" w:color="auto"/>
                <w:bottom w:val="none" w:sz="0" w:space="0" w:color="auto"/>
                <w:right w:val="none" w:sz="0" w:space="0" w:color="auto"/>
              </w:divBdr>
              <w:divsChild>
                <w:div w:id="1392850484">
                  <w:marLeft w:val="0"/>
                  <w:marRight w:val="0"/>
                  <w:marTop w:val="0"/>
                  <w:marBottom w:val="0"/>
                  <w:divBdr>
                    <w:top w:val="none" w:sz="0" w:space="0" w:color="auto"/>
                    <w:left w:val="none" w:sz="0" w:space="0" w:color="auto"/>
                    <w:bottom w:val="none" w:sz="0" w:space="0" w:color="auto"/>
                    <w:right w:val="none" w:sz="0" w:space="0" w:color="auto"/>
                  </w:divBdr>
                  <w:divsChild>
                    <w:div w:id="709695356">
                      <w:marLeft w:val="0"/>
                      <w:marRight w:val="0"/>
                      <w:marTop w:val="0"/>
                      <w:marBottom w:val="750"/>
                      <w:divBdr>
                        <w:top w:val="none" w:sz="0" w:space="0" w:color="auto"/>
                        <w:left w:val="none" w:sz="0" w:space="0" w:color="auto"/>
                        <w:bottom w:val="none" w:sz="0" w:space="0" w:color="auto"/>
                        <w:right w:val="none" w:sz="0" w:space="0" w:color="auto"/>
                      </w:divBdr>
                    </w:div>
                    <w:div w:id="1844317591">
                      <w:marLeft w:val="0"/>
                      <w:marRight w:val="0"/>
                      <w:marTop w:val="0"/>
                      <w:marBottom w:val="450"/>
                      <w:divBdr>
                        <w:top w:val="none" w:sz="0" w:space="0" w:color="auto"/>
                        <w:left w:val="none" w:sz="0" w:space="0" w:color="auto"/>
                        <w:bottom w:val="none" w:sz="0" w:space="0" w:color="auto"/>
                        <w:right w:val="none" w:sz="0" w:space="0" w:color="auto"/>
                      </w:divBdr>
                    </w:div>
                    <w:div w:id="1927885491">
                      <w:marLeft w:val="0"/>
                      <w:marRight w:val="0"/>
                      <w:marTop w:val="0"/>
                      <w:marBottom w:val="0"/>
                      <w:divBdr>
                        <w:top w:val="none" w:sz="0" w:space="0" w:color="auto"/>
                        <w:left w:val="none" w:sz="0" w:space="0" w:color="auto"/>
                        <w:bottom w:val="none" w:sz="0" w:space="0" w:color="auto"/>
                        <w:right w:val="none" w:sz="0" w:space="0" w:color="auto"/>
                      </w:divBdr>
                      <w:divsChild>
                        <w:div w:id="2129279043">
                          <w:marLeft w:val="0"/>
                          <w:marRight w:val="0"/>
                          <w:marTop w:val="0"/>
                          <w:marBottom w:val="0"/>
                          <w:divBdr>
                            <w:top w:val="none" w:sz="0" w:space="0" w:color="auto"/>
                            <w:left w:val="none" w:sz="0" w:space="0" w:color="auto"/>
                            <w:bottom w:val="none" w:sz="0" w:space="0" w:color="auto"/>
                            <w:right w:val="none" w:sz="0" w:space="0" w:color="auto"/>
                          </w:divBdr>
                        </w:div>
                      </w:divsChild>
                    </w:div>
                    <w:div w:id="52864267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green-belt" TargetMode="External"/><Relationship Id="rId13" Type="http://schemas.openxmlformats.org/officeDocument/2006/relationships/hyperlink" Target="https://www.gov.uk/guidance/natural-environment"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www.gov.uk/guidance/green-belt" TargetMode="External"/><Relationship Id="rId12" Type="http://schemas.openxmlformats.org/officeDocument/2006/relationships/hyperlink" Target="https://www.gov.uk/guidance/natural-environment" TargetMode="External"/><Relationship Id="rId17" Type="http://schemas.openxmlformats.org/officeDocument/2006/relationships/hyperlink" Target="https://www.gov.uk/guidance/community-infrastructure-levy" TargetMode="External"/><Relationship Id="rId2" Type="http://schemas.openxmlformats.org/officeDocument/2006/relationships/styles" Target="styles.xml"/><Relationship Id="rId16" Type="http://schemas.openxmlformats.org/officeDocument/2006/relationships/hyperlink" Target="https://www.gov.uk/guidance/use-of-planning-conditions"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www.gov.uk/government/organisations/ministry-of-housing-communities-and-local-government" TargetMode="External"/><Relationship Id="rId11" Type="http://schemas.openxmlformats.org/officeDocument/2006/relationships/hyperlink" Target="https://www.gov.uk/guidance/national-planning-policy-framework/13-protecting-green-belt-land" TargetMode="External"/><Relationship Id="rId5" Type="http://schemas.openxmlformats.org/officeDocument/2006/relationships/hyperlink" Target="https://www.gov.uk/government/organisations/department-for-levelling-up-housing-and-communities" TargetMode="External"/><Relationship Id="rId15" Type="http://schemas.openxmlformats.org/officeDocument/2006/relationships/hyperlink" Target="https://www.gov.uk/guidance/use-of-planning-conditions" TargetMode="External"/><Relationship Id="rId10" Type="http://schemas.openxmlformats.org/officeDocument/2006/relationships/hyperlink" Target="https://www.gov.uk/guidance/national-planning-policy-framework/13-protecting-green-belt-lan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uidance/green-belt" TargetMode="External"/><Relationship Id="rId14" Type="http://schemas.openxmlformats.org/officeDocument/2006/relationships/hyperlink" Target="https://www.gov.uk/guidance/vi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10CE1D1AE7DA4E989778DD0F93B833" ma:contentTypeVersion="18" ma:contentTypeDescription="Create a new document." ma:contentTypeScope="" ma:versionID="38960f7a6dfa418997f934e141715c88">
  <xsd:schema xmlns:xsd="http://www.w3.org/2001/XMLSchema" xmlns:xs="http://www.w3.org/2001/XMLSchema" xmlns:p="http://schemas.microsoft.com/office/2006/metadata/properties" xmlns:ns2="190cd029-43aa-4a9a-be90-2544f1333a04" xmlns:ns3="be31ed4b-6aff-48ff-a312-a756f35894bf" targetNamespace="http://schemas.microsoft.com/office/2006/metadata/properties" ma:root="true" ma:fieldsID="13644c96b0dd55c003c535f444f59173" ns2:_="" ns3:_="">
    <xsd:import namespace="190cd029-43aa-4a9a-be90-2544f1333a04"/>
    <xsd:import namespace="be31ed4b-6aff-48ff-a312-a756f35894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cd029-43aa-4a9a-be90-2544f1333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81cb11-b83b-4f6d-9fd0-297c91cf77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31ed4b-6aff-48ff-a312-a756f35894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fcf76-b64f-4646-9ff6-d7b649564da5}" ma:internalName="TaxCatchAll" ma:showField="CatchAllData" ma:web="be31ed4b-6aff-48ff-a312-a756f35894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C1B237-6106-4D7D-B963-27E05F9AE9B3}"/>
</file>

<file path=customXml/itemProps2.xml><?xml version="1.0" encoding="utf-8"?>
<ds:datastoreItem xmlns:ds="http://schemas.openxmlformats.org/officeDocument/2006/customXml" ds:itemID="{83919920-AE0E-4217-8F02-2A82E859AA29}"/>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4570</Characters>
  <Application>Microsoft Office Word</Application>
  <DocSecurity>0</DocSecurity>
  <Lines>38</Lines>
  <Paragraphs>10</Paragraphs>
  <ScaleCrop>false</ScaleCrop>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Hollyman</dc:creator>
  <cp:keywords/>
  <dc:description/>
  <cp:lastModifiedBy>James Hollyman</cp:lastModifiedBy>
  <cp:revision>1</cp:revision>
  <dcterms:created xsi:type="dcterms:W3CDTF">2023-11-02T12:16:00Z</dcterms:created>
  <dcterms:modified xsi:type="dcterms:W3CDTF">2023-11-02T12:17:00Z</dcterms:modified>
</cp:coreProperties>
</file>