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CE07" w14:textId="77777777" w:rsidR="00A0784F" w:rsidRPr="00A0784F" w:rsidRDefault="00A0784F" w:rsidP="00A0784F">
      <w:pPr>
        <w:shd w:val="clear" w:color="auto" w:fill="FFFFFF"/>
        <w:spacing w:after="0" w:line="240" w:lineRule="auto"/>
        <w:rPr>
          <w:rFonts w:ascii="Arial" w:eastAsia="Times New Roman" w:hAnsi="Arial" w:cs="Arial"/>
          <w:color w:val="000000"/>
          <w:kern w:val="0"/>
          <w:sz w:val="27"/>
          <w:szCs w:val="27"/>
          <w:lang w:eastAsia="en-GB"/>
          <w14:ligatures w14:val="none"/>
        </w:rPr>
      </w:pPr>
      <w:r w:rsidRPr="00A0784F">
        <w:rPr>
          <w:rFonts w:ascii="Arial" w:eastAsia="Times New Roman" w:hAnsi="Arial" w:cs="Arial"/>
          <w:color w:val="505A5F"/>
          <w:kern w:val="0"/>
          <w:sz w:val="27"/>
          <w:szCs w:val="27"/>
          <w:lang w:eastAsia="en-GB"/>
          <w14:ligatures w14:val="none"/>
        </w:rPr>
        <w:t>Guidance</w:t>
      </w:r>
    </w:p>
    <w:p w14:paraId="5C41B2B7" w14:textId="77777777" w:rsidR="00A0784F" w:rsidRPr="00A0784F" w:rsidRDefault="00A0784F" w:rsidP="00A0784F">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A0784F">
        <w:rPr>
          <w:rFonts w:ascii="Arial" w:eastAsia="Times New Roman" w:hAnsi="Arial" w:cs="Arial"/>
          <w:b/>
          <w:bCs/>
          <w:color w:val="0B0C0C"/>
          <w:kern w:val="36"/>
          <w:sz w:val="48"/>
          <w:szCs w:val="48"/>
          <w:lang w:eastAsia="en-GB"/>
          <w14:ligatures w14:val="none"/>
        </w:rPr>
        <w:t>Renewable and low carbon energy</w:t>
      </w:r>
    </w:p>
    <w:p w14:paraId="5F71FDF4" w14:textId="77777777" w:rsidR="00A0784F" w:rsidRPr="00A0784F" w:rsidRDefault="00A0784F" w:rsidP="00A0784F">
      <w:pPr>
        <w:shd w:val="clear" w:color="auto" w:fill="FFFFFF"/>
        <w:spacing w:after="6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Guidance to help local councils in developing policies for renewable and low carbon energy and identifies the planning considerations.</w:t>
      </w:r>
    </w:p>
    <w:p w14:paraId="332873ED" w14:textId="77777777" w:rsidR="00A0784F" w:rsidRPr="00A0784F" w:rsidRDefault="00A0784F" w:rsidP="00A0784F">
      <w:pPr>
        <w:shd w:val="clear" w:color="auto" w:fill="FFFFFF"/>
        <w:spacing w:after="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From:</w:t>
      </w:r>
    </w:p>
    <w:p w14:paraId="31F40F5C" w14:textId="77777777" w:rsidR="00A0784F" w:rsidRPr="00A0784F" w:rsidRDefault="00A0784F" w:rsidP="00A0784F">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A0784F">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A0784F">
        <w:rPr>
          <w:rFonts w:ascii="Arial" w:eastAsia="Times New Roman" w:hAnsi="Arial" w:cs="Arial"/>
          <w:color w:val="0B0C0C"/>
          <w:kern w:val="0"/>
          <w:sz w:val="27"/>
          <w:szCs w:val="27"/>
          <w:lang w:eastAsia="en-GB"/>
          <w14:ligatures w14:val="none"/>
        </w:rPr>
        <w:t>and </w:t>
      </w:r>
      <w:hyperlink r:id="rId6" w:history="1">
        <w:r w:rsidRPr="00A0784F">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7AFE021A" w14:textId="77777777" w:rsidR="00A0784F" w:rsidRPr="00A0784F" w:rsidRDefault="00A0784F" w:rsidP="00A0784F">
      <w:pPr>
        <w:shd w:val="clear" w:color="auto" w:fill="FFFFFF"/>
        <w:spacing w:after="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Published</w:t>
      </w:r>
    </w:p>
    <w:p w14:paraId="7DA39CCC" w14:textId="77777777" w:rsidR="00A0784F" w:rsidRPr="00A0784F" w:rsidRDefault="00A0784F" w:rsidP="00A0784F">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18 June 2015</w:t>
      </w:r>
    </w:p>
    <w:p w14:paraId="08C339F8" w14:textId="77777777" w:rsidR="00A0784F" w:rsidRPr="00A0784F" w:rsidRDefault="00A0784F" w:rsidP="00A0784F">
      <w:pPr>
        <w:shd w:val="clear" w:color="auto" w:fill="FFFFFF"/>
        <w:spacing w:after="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Last updated</w:t>
      </w:r>
    </w:p>
    <w:p w14:paraId="44939C4F" w14:textId="77777777" w:rsidR="00A0784F" w:rsidRPr="00A0784F" w:rsidRDefault="00A0784F" w:rsidP="00A0784F">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14 August 2023 — </w:t>
      </w:r>
      <w:hyperlink r:id="rId7" w:anchor="full-publication-update-history" w:history="1">
        <w:r w:rsidRPr="00A0784F">
          <w:rPr>
            <w:rFonts w:ascii="Arial" w:eastAsia="Times New Roman" w:hAnsi="Arial" w:cs="Arial"/>
            <w:color w:val="1D70B8"/>
            <w:kern w:val="0"/>
            <w:sz w:val="27"/>
            <w:szCs w:val="27"/>
            <w:u w:val="single"/>
            <w:lang w:eastAsia="en-GB"/>
            <w14:ligatures w14:val="none"/>
          </w:rPr>
          <w:t>See all updates</w:t>
        </w:r>
      </w:hyperlink>
    </w:p>
    <w:p w14:paraId="6DE06BE5" w14:textId="77777777" w:rsidR="00A0784F" w:rsidRPr="00A0784F" w:rsidRDefault="00A0784F" w:rsidP="00A0784F">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A0784F">
        <w:rPr>
          <w:rFonts w:ascii="Arial" w:eastAsia="Times New Roman" w:hAnsi="Arial" w:cs="Arial"/>
          <w:vanish/>
          <w:kern w:val="0"/>
          <w:sz w:val="16"/>
          <w:szCs w:val="16"/>
          <w:lang w:eastAsia="en-GB"/>
          <w14:ligatures w14:val="none"/>
        </w:rPr>
        <w:t>Top of Form</w:t>
      </w:r>
    </w:p>
    <w:p w14:paraId="5598314B" w14:textId="77777777" w:rsidR="00A0784F" w:rsidRPr="00A0784F" w:rsidRDefault="00A0784F" w:rsidP="00A0784F">
      <w:pPr>
        <w:shd w:val="clear" w:color="auto" w:fill="FFFFFF"/>
        <w:spacing w:after="0" w:line="240" w:lineRule="auto"/>
        <w:rPr>
          <w:rFonts w:ascii="Arial" w:eastAsia="Times New Roman" w:hAnsi="Arial" w:cs="Arial"/>
          <w:color w:val="000000"/>
          <w:kern w:val="0"/>
          <w:sz w:val="27"/>
          <w:szCs w:val="27"/>
          <w:lang w:eastAsia="en-GB"/>
          <w14:ligatures w14:val="none"/>
        </w:rPr>
      </w:pPr>
      <w:r w:rsidRPr="00A0784F">
        <w:rPr>
          <w:rFonts w:ascii="Arial" w:eastAsia="Times New Roman" w:hAnsi="Arial" w:cs="Arial"/>
          <w:color w:val="000000"/>
          <w:kern w:val="0"/>
          <w:sz w:val="27"/>
          <w:szCs w:val="27"/>
          <w:lang w:eastAsia="en-GB"/>
          <w14:ligatures w14:val="none"/>
        </w:rPr>
        <w:t>Get emails about this page</w:t>
      </w:r>
    </w:p>
    <w:p w14:paraId="4AA7E2E3" w14:textId="77777777" w:rsidR="00A0784F" w:rsidRPr="00A0784F" w:rsidRDefault="00A0784F" w:rsidP="00A0784F">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A0784F">
        <w:rPr>
          <w:rFonts w:ascii="Arial" w:eastAsia="Times New Roman" w:hAnsi="Arial" w:cs="Arial"/>
          <w:vanish/>
          <w:kern w:val="0"/>
          <w:sz w:val="16"/>
          <w:szCs w:val="16"/>
          <w:lang w:eastAsia="en-GB"/>
          <w14:ligatures w14:val="none"/>
        </w:rPr>
        <w:t>Bottom of Form</w:t>
      </w:r>
    </w:p>
    <w:p w14:paraId="25B7F3BC" w14:textId="77777777" w:rsidR="00A0784F" w:rsidRPr="00A0784F" w:rsidRDefault="00A0784F" w:rsidP="00A0784F">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A0784F">
        <w:rPr>
          <w:rFonts w:ascii="Arial" w:eastAsia="Times New Roman" w:hAnsi="Arial" w:cs="Arial"/>
          <w:color w:val="0B0C0C"/>
          <w:kern w:val="0"/>
          <w:sz w:val="36"/>
          <w:szCs w:val="36"/>
          <w:lang w:eastAsia="en-GB"/>
          <w14:ligatures w14:val="none"/>
        </w:rPr>
        <w:t>Contents</w:t>
      </w:r>
    </w:p>
    <w:p w14:paraId="1D0E41E6" w14:textId="77777777" w:rsidR="00A0784F" w:rsidRPr="00A0784F" w:rsidRDefault="00A0784F" w:rsidP="00A0784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planning-for-renewable-and-low-carbon-energy-introduction" w:history="1">
        <w:r w:rsidRPr="00A0784F">
          <w:rPr>
            <w:rFonts w:ascii="Arial" w:eastAsia="Times New Roman" w:hAnsi="Arial" w:cs="Arial"/>
            <w:color w:val="1D70B8"/>
            <w:kern w:val="0"/>
            <w:sz w:val="27"/>
            <w:szCs w:val="27"/>
            <w:u w:val="single"/>
            <w:lang w:eastAsia="en-GB"/>
            <w14:ligatures w14:val="none"/>
          </w:rPr>
          <w:t>Planning for renewable and low carbon energy: introduction</w:t>
        </w:r>
      </w:hyperlink>
    </w:p>
    <w:p w14:paraId="4702DCC9" w14:textId="77777777" w:rsidR="00A0784F" w:rsidRPr="00A0784F" w:rsidRDefault="00A0784F" w:rsidP="00A0784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developing-a-strategy-for-renewable-and-low-carbon-energy" w:history="1">
        <w:r w:rsidRPr="00A0784F">
          <w:rPr>
            <w:rFonts w:ascii="Arial" w:eastAsia="Times New Roman" w:hAnsi="Arial" w:cs="Arial"/>
            <w:color w:val="1D70B8"/>
            <w:kern w:val="0"/>
            <w:sz w:val="27"/>
            <w:szCs w:val="27"/>
            <w:u w:val="single"/>
            <w:lang w:eastAsia="en-GB"/>
            <w14:ligatures w14:val="none"/>
          </w:rPr>
          <w:t>Developing a strategy for renewable and low carbon energy</w:t>
        </w:r>
      </w:hyperlink>
    </w:p>
    <w:p w14:paraId="53DCE8C1" w14:textId="77777777" w:rsidR="00A0784F" w:rsidRPr="00A0784F" w:rsidRDefault="00A0784F" w:rsidP="00A0784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particular-planning-considerations-for-hydropower-active-solar-technology-solar-farms-and-wind-turbines" w:history="1">
        <w:r w:rsidRPr="00A0784F">
          <w:rPr>
            <w:rFonts w:ascii="Arial" w:eastAsia="Times New Roman" w:hAnsi="Arial" w:cs="Arial"/>
            <w:color w:val="1D70B8"/>
            <w:kern w:val="0"/>
            <w:sz w:val="27"/>
            <w:szCs w:val="27"/>
            <w:u w:val="single"/>
            <w:lang w:eastAsia="en-GB"/>
            <w14:ligatures w14:val="none"/>
          </w:rPr>
          <w:t>Particular planning considerations for hydropower, active solar technology, solar farms and wind turbines</w:t>
        </w:r>
      </w:hyperlink>
    </w:p>
    <w:p w14:paraId="5CDA16DE" w14:textId="77777777" w:rsidR="00A0784F" w:rsidRPr="00A0784F" w:rsidRDefault="00A0784F" w:rsidP="00A0784F">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battery-energy-storage-systems" w:history="1">
        <w:r w:rsidRPr="00A0784F">
          <w:rPr>
            <w:rFonts w:ascii="Arial" w:eastAsia="Times New Roman" w:hAnsi="Arial" w:cs="Arial"/>
            <w:color w:val="1D70B8"/>
            <w:kern w:val="0"/>
            <w:sz w:val="27"/>
            <w:szCs w:val="27"/>
            <w:u w:val="single"/>
            <w:lang w:eastAsia="en-GB"/>
            <w14:ligatures w14:val="none"/>
          </w:rPr>
          <w:t>Battery Energy Storage Systems</w:t>
        </w:r>
      </w:hyperlink>
    </w:p>
    <w:p w14:paraId="35AC2BEC" w14:textId="77777777" w:rsidR="00A0784F" w:rsidRPr="00A0784F" w:rsidRDefault="00A0784F" w:rsidP="00A0784F">
      <w:pPr>
        <w:shd w:val="clear" w:color="auto" w:fill="FFFFFF"/>
        <w:spacing w:line="240" w:lineRule="auto"/>
        <w:rPr>
          <w:rFonts w:ascii="Arial" w:eastAsia="Times New Roman" w:hAnsi="Arial" w:cs="Arial"/>
          <w:color w:val="000000"/>
          <w:kern w:val="0"/>
          <w:sz w:val="27"/>
          <w:szCs w:val="27"/>
          <w:lang w:eastAsia="en-GB"/>
          <w14:ligatures w14:val="none"/>
        </w:rPr>
      </w:pPr>
      <w:r w:rsidRPr="00A0784F">
        <w:rPr>
          <w:rFonts w:ascii="Arial" w:eastAsia="Times New Roman" w:hAnsi="Arial" w:cs="Arial"/>
          <w:color w:val="000000"/>
          <w:kern w:val="0"/>
          <w:sz w:val="27"/>
          <w:szCs w:val="27"/>
          <w:lang w:eastAsia="en-GB"/>
          <w14:ligatures w14:val="none"/>
        </w:rPr>
        <w:t>Print this page</w:t>
      </w:r>
    </w:p>
    <w:p w14:paraId="291DDE71" w14:textId="77777777" w:rsidR="00A0784F" w:rsidRPr="00A0784F" w:rsidRDefault="00A0784F" w:rsidP="00A0784F">
      <w:pPr>
        <w:shd w:val="clear" w:color="auto" w:fill="FFFFFF"/>
        <w:spacing w:after="0" w:line="240" w:lineRule="auto"/>
        <w:outlineLvl w:val="1"/>
        <w:rPr>
          <w:rFonts w:ascii="Arial" w:eastAsia="Times New Roman" w:hAnsi="Arial" w:cs="Arial"/>
          <w:b/>
          <w:bCs/>
          <w:color w:val="0B0C0C"/>
          <w:kern w:val="0"/>
          <w:sz w:val="36"/>
          <w:szCs w:val="36"/>
          <w:lang w:eastAsia="en-GB"/>
          <w14:ligatures w14:val="none"/>
        </w:rPr>
      </w:pPr>
      <w:r w:rsidRPr="00A0784F">
        <w:rPr>
          <w:rFonts w:ascii="Arial" w:eastAsia="Times New Roman" w:hAnsi="Arial" w:cs="Arial"/>
          <w:b/>
          <w:bCs/>
          <w:color w:val="0B0C0C"/>
          <w:kern w:val="0"/>
          <w:sz w:val="36"/>
          <w:szCs w:val="36"/>
          <w:lang w:eastAsia="en-GB"/>
          <w14:ligatures w14:val="none"/>
        </w:rPr>
        <w:t>Planning for renewable and low carbon energy: introduction</w:t>
      </w:r>
    </w:p>
    <w:p w14:paraId="79EB697E"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Why is planning for renewable and low carbon energy important?</w:t>
      </w:r>
    </w:p>
    <w:p w14:paraId="573AFBC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Increasing the amount of energy from renewable and low carbon technologies will help to make sure the UK has a secure energy supply, reduce greenhouse gas emissions to slow down climate change and stimulate investment in new jobs and businesses. Planning has an important role in the delivery of new renewable and low carbon energy infrastructure in locations where the local environmental impact is acceptable.</w:t>
      </w:r>
    </w:p>
    <w:p w14:paraId="0CDB29E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001 Reference ID: 5-001-20140306</w:t>
      </w:r>
    </w:p>
    <w:p w14:paraId="4EE3B73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10F7D40E"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lastRenderedPageBreak/>
        <w:t>Are all energy developments handled by local planning authorities?</w:t>
      </w:r>
    </w:p>
    <w:p w14:paraId="0E8EDD3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planning authorities are responsible for renewable and low carbon energy development of 50 megawatts or less installed capacity (under the Town and Country Planning Act 1990). Renewable and low carbon development over 50 megawatts capacity are currently considered by the Secretary of State for Energy under the </w:t>
      </w:r>
      <w:hyperlink r:id="rId12" w:history="1">
        <w:r w:rsidRPr="00A0784F">
          <w:rPr>
            <w:rFonts w:ascii="Arial" w:eastAsia="Times New Roman" w:hAnsi="Arial" w:cs="Arial"/>
            <w:color w:val="1D70B8"/>
            <w:kern w:val="0"/>
            <w:sz w:val="27"/>
            <w:szCs w:val="27"/>
            <w:u w:val="single"/>
            <w:lang w:eastAsia="en-GB"/>
            <w14:ligatures w14:val="none"/>
          </w:rPr>
          <w:t>Planning Act 2008</w:t>
        </w:r>
      </w:hyperlink>
      <w:r w:rsidRPr="00A0784F">
        <w:rPr>
          <w:rFonts w:ascii="Arial" w:eastAsia="Times New Roman" w:hAnsi="Arial" w:cs="Arial"/>
          <w:color w:val="0B0C0C"/>
          <w:kern w:val="0"/>
          <w:sz w:val="27"/>
          <w:szCs w:val="27"/>
          <w:lang w:eastAsia="en-GB"/>
          <w14:ligatures w14:val="none"/>
        </w:rPr>
        <w:t>, and the local planning authority is a statutory consultee. It is the government’s intention to amend legislation so that all applications for onshore wind energy development are handled by local planning authorities. Microgeneration is often </w:t>
      </w:r>
      <w:hyperlink r:id="rId13" w:history="1">
        <w:r w:rsidRPr="00A0784F">
          <w:rPr>
            <w:rFonts w:ascii="Arial" w:eastAsia="Times New Roman" w:hAnsi="Arial" w:cs="Arial"/>
            <w:color w:val="1D70B8"/>
            <w:kern w:val="0"/>
            <w:sz w:val="27"/>
            <w:szCs w:val="27"/>
            <w:u w:val="single"/>
            <w:lang w:eastAsia="en-GB"/>
            <w14:ligatures w14:val="none"/>
          </w:rPr>
          <w:t>permitted development</w:t>
        </w:r>
      </w:hyperlink>
      <w:r w:rsidRPr="00A0784F">
        <w:rPr>
          <w:rFonts w:ascii="Arial" w:eastAsia="Times New Roman" w:hAnsi="Arial" w:cs="Arial"/>
          <w:color w:val="0B0C0C"/>
          <w:kern w:val="0"/>
          <w:sz w:val="27"/>
          <w:szCs w:val="27"/>
          <w:lang w:eastAsia="en-GB"/>
          <w14:ligatures w14:val="none"/>
        </w:rPr>
        <w:t> and may not require an application for planning permission.</w:t>
      </w:r>
    </w:p>
    <w:p w14:paraId="19C9C02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002 Reference ID: 5-002-20150618</w:t>
      </w:r>
    </w:p>
    <w:p w14:paraId="6BDC857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18 06 2015 See </w:t>
      </w:r>
      <w:hyperlink r:id="rId14" w:history="1">
        <w:r w:rsidRPr="00A0784F">
          <w:rPr>
            <w:rFonts w:ascii="Arial" w:eastAsia="Times New Roman" w:hAnsi="Arial" w:cs="Arial"/>
            <w:color w:val="1D70B8"/>
            <w:kern w:val="0"/>
            <w:sz w:val="27"/>
            <w:szCs w:val="27"/>
            <w:u w:val="single"/>
            <w:lang w:eastAsia="en-GB"/>
            <w14:ligatures w14:val="none"/>
          </w:rPr>
          <w:t>previous version</w:t>
        </w:r>
      </w:hyperlink>
    </w:p>
    <w:p w14:paraId="05F8C0AF" w14:textId="77777777" w:rsidR="00A0784F" w:rsidRPr="00A0784F" w:rsidRDefault="00A0784F" w:rsidP="00A0784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A0784F">
        <w:rPr>
          <w:rFonts w:ascii="Arial" w:eastAsia="Times New Roman" w:hAnsi="Arial" w:cs="Arial"/>
          <w:b/>
          <w:bCs/>
          <w:color w:val="0B0C0C"/>
          <w:kern w:val="0"/>
          <w:sz w:val="36"/>
          <w:szCs w:val="36"/>
          <w:lang w:eastAsia="en-GB"/>
          <w14:ligatures w14:val="none"/>
        </w:rPr>
        <w:t>Developing a strategy for renewable and low carbon energy</w:t>
      </w:r>
    </w:p>
    <w:p w14:paraId="3304B1B2"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How can local planning authorities develop a positive strategy to promote the delivery of renewable and low carbon energy?</w:t>
      </w:r>
    </w:p>
    <w:p w14:paraId="5621D56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National Planning Policy Framework explains that all communities have a responsibility to help increase the use and supply of green energy, but this does not mean that the need for renewable energy automatically overrides environmental protections and the planning concerns of local communities. As with other types of development, it is important that the planning concerns of local communities are properly heard in matters that directly affect them.</w:t>
      </w:r>
    </w:p>
    <w:p w14:paraId="6B03AA4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and neighbourhood plans are the key to delivering development that has the backing of local communities. When drawing up a Local Plan local planning authorities should first consider what the local potential is for renewable and low carbon energy generation. In considering that potential, the matters local planning authorities should think about include:</w:t>
      </w:r>
    </w:p>
    <w:p w14:paraId="06A9316E" w14:textId="77777777" w:rsidR="00A0784F" w:rsidRPr="00A0784F" w:rsidRDefault="00A0784F" w:rsidP="00A0784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range of technologies that could be accommodated and the policies needed to encourage their development in the right places;</w:t>
      </w:r>
    </w:p>
    <w:p w14:paraId="23D9FA57" w14:textId="77777777" w:rsidR="00A0784F" w:rsidRPr="00A0784F" w:rsidRDefault="00A0784F" w:rsidP="00A0784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costs of many renewable energy technologies are falling, potentially increasing their attractiveness and the number of proposals;</w:t>
      </w:r>
    </w:p>
    <w:p w14:paraId="7C65A9FA" w14:textId="77777777" w:rsidR="00A0784F" w:rsidRPr="00A0784F" w:rsidRDefault="00A0784F" w:rsidP="00A0784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different technologies have different impacts and impacts can vary by place;</w:t>
      </w:r>
    </w:p>
    <w:p w14:paraId="6336DBDF" w14:textId="77777777" w:rsidR="00A0784F" w:rsidRPr="00A0784F" w:rsidRDefault="00A0784F" w:rsidP="00A0784F">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UK has legal commitments to cut greenhouse gases and meet increased energy demand from renewable sources. Whilst local authorities should design their policies to maximise renewable and low carbon energy development, there is no quota which the Local Plan has to deliver.</w:t>
      </w:r>
    </w:p>
    <w:p w14:paraId="4A9DE42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is information below on community-led renewable energy initiatives.</w:t>
      </w:r>
    </w:p>
    <w:p w14:paraId="2647C7A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003 Reference ID: 5-003-20140306</w:t>
      </w:r>
    </w:p>
    <w:p w14:paraId="2AC4013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3C6EFB10"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is the role for community led renewable energy initiatives?</w:t>
      </w:r>
    </w:p>
    <w:p w14:paraId="08A2601E"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Community initiatives are likely to play an increasingly important role and should be encouraged as a way of providing positive local benefit from renewable energy development. Further information for communities interested in developing their own initiatives is provided by the Department for Energy Security and Net Zero. Local planning authorities may wish to establish policies which give positive weight to renewable and low carbon energy initiatives which have clear evidence of local community involvement and leadership.</w:t>
      </w:r>
    </w:p>
    <w:p w14:paraId="584E276E"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Neighbourhood plans are an opportunity for communities to plan for community led renewable energy developments. Neighbourhood Development Orders and Community Right to Build Orders can be used to grant planning permission for renewable energy development. To support community based initiatives a local planning authority should set out clearly any strategic policies that those producing neighbourhood plans or Orders will need to consider when developing proposals that address renewable energy development. Local planning authorities should also share relevant evidence that may assist those producing a neighbourhood plan or Order, as part of their duty to advise or assist. As part of a neighbourhood plan, communities can also look at developing a community energy plan to underpin the neighbourhood plan.</w:t>
      </w:r>
    </w:p>
    <w:p w14:paraId="494B7A3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004 Reference ID: 5-004-20140306</w:t>
      </w:r>
    </w:p>
    <w:p w14:paraId="6F9C158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51F2A074"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How can local planning authorities identify suitable areas for renewable and low carbon energy?</w:t>
      </w:r>
    </w:p>
    <w:p w14:paraId="640255D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are no hard and fast rules about how suitable areas for renewable energy should be identified, but in considering locations, local planning authorities will need to ensure they take into account the </w:t>
      </w:r>
      <w:hyperlink r:id="rId15" w:anchor="requirements-of-the-technology" w:history="1">
        <w:r w:rsidRPr="00A0784F">
          <w:rPr>
            <w:rFonts w:ascii="Arial" w:eastAsia="Times New Roman" w:hAnsi="Arial" w:cs="Arial"/>
            <w:color w:val="1D70B8"/>
            <w:kern w:val="0"/>
            <w:sz w:val="27"/>
            <w:szCs w:val="27"/>
            <w:u w:val="single"/>
            <w:lang w:eastAsia="en-GB"/>
            <w14:ligatures w14:val="none"/>
          </w:rPr>
          <w:t>requirements of the technology</w:t>
        </w:r>
      </w:hyperlink>
      <w:r w:rsidRPr="00A0784F">
        <w:rPr>
          <w:rFonts w:ascii="Arial" w:eastAsia="Times New Roman" w:hAnsi="Arial" w:cs="Arial"/>
          <w:color w:val="0B0C0C"/>
          <w:kern w:val="0"/>
          <w:sz w:val="27"/>
          <w:szCs w:val="27"/>
          <w:lang w:eastAsia="en-GB"/>
          <w14:ligatures w14:val="none"/>
        </w:rPr>
        <w:t> and, critically, the potential impacts on the local environment, including from </w:t>
      </w:r>
      <w:hyperlink r:id="rId16" w:anchor="cumulative-landscape-and-visual-impacts" w:history="1">
        <w:r w:rsidRPr="00A0784F">
          <w:rPr>
            <w:rFonts w:ascii="Arial" w:eastAsia="Times New Roman" w:hAnsi="Arial" w:cs="Arial"/>
            <w:color w:val="1D70B8"/>
            <w:kern w:val="0"/>
            <w:sz w:val="27"/>
            <w:szCs w:val="27"/>
            <w:u w:val="single"/>
            <w:lang w:eastAsia="en-GB"/>
            <w14:ligatures w14:val="none"/>
          </w:rPr>
          <w:t>cumulative impacts</w:t>
        </w:r>
      </w:hyperlink>
      <w:r w:rsidRPr="00A0784F">
        <w:rPr>
          <w:rFonts w:ascii="Arial" w:eastAsia="Times New Roman" w:hAnsi="Arial" w:cs="Arial"/>
          <w:color w:val="0B0C0C"/>
          <w:kern w:val="0"/>
          <w:sz w:val="27"/>
          <w:szCs w:val="27"/>
          <w:lang w:eastAsia="en-GB"/>
          <w14:ligatures w14:val="none"/>
        </w:rPr>
        <w:t>. The views of local communities likely to be affected should be listened to.</w:t>
      </w:r>
    </w:p>
    <w:p w14:paraId="48A3C87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When identifying suitable areas it is also important to set out the factors that will be taken into account when considering individual proposals in these areas. These factors may be dependent on the investigatory work underpinning the identified area.</w:t>
      </w:r>
    </w:p>
    <w:p w14:paraId="4E4E28E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is a methodology available from the Department for Energy Security and Net Zero’s website on assessing the capacity for renewable energy development which can be used and there may be existing local assessments. However, the impact of some types of technologies may have changed since assessments were drawn up (eg the size of wind turbines has been increasing). In considering impacts, assessments can use tools to identify where impacts are likely to be acceptable. For example, landscape character areas could form the basis for considering which technologies at which scale may be appropriate in different types of location. Landscape Character Assessment is a process used to explain the type and characteristics of landscape in an area. Natural England has used Landscape Character Assessment to identify 159 National Character Areas in England which provide a national level database. Landscape Character Assessment carried out at a county or district level may provide a more appropriate scale for assessing the likely landscape and visual impacts of individual proposals. Some renewable energy schemes may have visual impacts on the marine and coastal environment and it may be appropriate to also to assess potential impacts on seascape character.</w:t>
      </w:r>
    </w:p>
    <w:p w14:paraId="27846EE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Identifying areas suitable for renewable energy in plans gives greater certainty as to where such development will be permitted. For example, where councils have identified suitable areas for large scale solar farms, they should not have to give permission outside those areas for speculative applications involving the same type of development when they judge the impact to be unacceptable.</w:t>
      </w:r>
    </w:p>
    <w:p w14:paraId="1E9E675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 the case of </w:t>
      </w:r>
      <w:hyperlink r:id="rId17" w:history="1">
        <w:r w:rsidRPr="00A0784F">
          <w:rPr>
            <w:rFonts w:ascii="Arial" w:eastAsia="Times New Roman" w:hAnsi="Arial" w:cs="Arial"/>
            <w:color w:val="1D70B8"/>
            <w:kern w:val="0"/>
            <w:sz w:val="27"/>
            <w:szCs w:val="27"/>
            <w:u w:val="single"/>
            <w:lang w:eastAsia="en-GB"/>
            <w14:ligatures w14:val="none"/>
          </w:rPr>
          <w:t>wind turbines</w:t>
        </w:r>
      </w:hyperlink>
      <w:r w:rsidRPr="00A0784F">
        <w:rPr>
          <w:rFonts w:ascii="Arial" w:eastAsia="Times New Roman" w:hAnsi="Arial" w:cs="Arial"/>
          <w:color w:val="0B0C0C"/>
          <w:kern w:val="0"/>
          <w:sz w:val="27"/>
          <w:szCs w:val="27"/>
          <w:lang w:eastAsia="en-GB"/>
          <w14:ligatures w14:val="none"/>
        </w:rPr>
        <w:t>, a planning application should not be approved unless the proposed development site is an area identified as suitable for wind energy development in a Local or Neighbourhood Plan.</w:t>
      </w:r>
    </w:p>
    <w:p w14:paraId="3DF0020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is information in the rest of the guidance on </w:t>
      </w:r>
      <w:hyperlink r:id="rId18" w:anchor="requirements-of-the-technology" w:history="1">
        <w:r w:rsidRPr="00A0784F">
          <w:rPr>
            <w:rFonts w:ascii="Arial" w:eastAsia="Times New Roman" w:hAnsi="Arial" w:cs="Arial"/>
            <w:color w:val="1D70B8"/>
            <w:kern w:val="0"/>
            <w:sz w:val="27"/>
            <w:szCs w:val="27"/>
            <w:u w:val="single"/>
            <w:lang w:eastAsia="en-GB"/>
            <w14:ligatures w14:val="none"/>
          </w:rPr>
          <w:t>technical considerations</w:t>
        </w:r>
      </w:hyperlink>
      <w:r w:rsidRPr="00A0784F">
        <w:rPr>
          <w:rFonts w:ascii="Arial" w:eastAsia="Times New Roman" w:hAnsi="Arial" w:cs="Arial"/>
          <w:color w:val="0B0C0C"/>
          <w:kern w:val="0"/>
          <w:sz w:val="27"/>
          <w:szCs w:val="27"/>
          <w:lang w:eastAsia="en-GB"/>
          <w14:ligatures w14:val="none"/>
        </w:rPr>
        <w:t>, </w:t>
      </w:r>
      <w:hyperlink r:id="rId19" w:anchor="criteria-based-policies" w:history="1">
        <w:r w:rsidRPr="00A0784F">
          <w:rPr>
            <w:rFonts w:ascii="Arial" w:eastAsia="Times New Roman" w:hAnsi="Arial" w:cs="Arial"/>
            <w:color w:val="1D70B8"/>
            <w:kern w:val="0"/>
            <w:sz w:val="27"/>
            <w:szCs w:val="27"/>
            <w:u w:val="single"/>
            <w:lang w:eastAsia="en-GB"/>
            <w14:ligatures w14:val="none"/>
          </w:rPr>
          <w:t>criteria-based policies</w:t>
        </w:r>
      </w:hyperlink>
      <w:r w:rsidRPr="00A0784F">
        <w:rPr>
          <w:rFonts w:ascii="Arial" w:eastAsia="Times New Roman" w:hAnsi="Arial" w:cs="Arial"/>
          <w:color w:val="0B0C0C"/>
          <w:kern w:val="0"/>
          <w:sz w:val="27"/>
          <w:szCs w:val="27"/>
          <w:lang w:eastAsia="en-GB"/>
          <w14:ligatures w14:val="none"/>
        </w:rPr>
        <w:t>, </w:t>
      </w:r>
      <w:hyperlink r:id="rId20" w:anchor="buffer-zones" w:history="1">
        <w:r w:rsidRPr="00A0784F">
          <w:rPr>
            <w:rFonts w:ascii="Arial" w:eastAsia="Times New Roman" w:hAnsi="Arial" w:cs="Arial"/>
            <w:color w:val="1D70B8"/>
            <w:kern w:val="0"/>
            <w:sz w:val="27"/>
            <w:szCs w:val="27"/>
            <w:u w:val="single"/>
            <w:lang w:eastAsia="en-GB"/>
            <w14:ligatures w14:val="none"/>
          </w:rPr>
          <w:t>buffer zones</w:t>
        </w:r>
      </w:hyperlink>
      <w:r w:rsidRPr="00A0784F">
        <w:rPr>
          <w:rFonts w:ascii="Arial" w:eastAsia="Times New Roman" w:hAnsi="Arial" w:cs="Arial"/>
          <w:color w:val="0B0C0C"/>
          <w:kern w:val="0"/>
          <w:sz w:val="27"/>
          <w:szCs w:val="27"/>
          <w:lang w:eastAsia="en-GB"/>
          <w14:ligatures w14:val="none"/>
        </w:rPr>
        <w:t> and </w:t>
      </w:r>
      <w:hyperlink r:id="rId21" w:anchor="decentralised-energy" w:history="1">
        <w:r w:rsidRPr="00A0784F">
          <w:rPr>
            <w:rFonts w:ascii="Arial" w:eastAsia="Times New Roman" w:hAnsi="Arial" w:cs="Arial"/>
            <w:color w:val="1D70B8"/>
            <w:kern w:val="0"/>
            <w:sz w:val="27"/>
            <w:szCs w:val="27"/>
            <w:u w:val="single"/>
            <w:lang w:eastAsia="en-GB"/>
            <w14:ligatures w14:val="none"/>
          </w:rPr>
          <w:t>decentralised energy</w:t>
        </w:r>
      </w:hyperlink>
      <w:r w:rsidRPr="00A0784F">
        <w:rPr>
          <w:rFonts w:ascii="Arial" w:eastAsia="Times New Roman" w:hAnsi="Arial" w:cs="Arial"/>
          <w:color w:val="0B0C0C"/>
          <w:kern w:val="0"/>
          <w:sz w:val="27"/>
          <w:szCs w:val="27"/>
          <w:lang w:eastAsia="en-GB"/>
          <w14:ligatures w14:val="none"/>
        </w:rPr>
        <w:t>.</w:t>
      </w:r>
    </w:p>
    <w:p w14:paraId="3B8B6718"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Related policy: </w:t>
      </w:r>
      <w:hyperlink r:id="rId22" w:anchor="para154" w:history="1">
        <w:r w:rsidRPr="00A0784F">
          <w:rPr>
            <w:rFonts w:ascii="Arial" w:eastAsia="Times New Roman" w:hAnsi="Arial" w:cs="Arial"/>
            <w:color w:val="1D70B8"/>
            <w:kern w:val="0"/>
            <w:sz w:val="27"/>
            <w:szCs w:val="27"/>
            <w:u w:val="single"/>
            <w:lang w:eastAsia="en-GB"/>
            <w14:ligatures w14:val="none"/>
          </w:rPr>
          <w:t>paragraph 154</w:t>
        </w:r>
      </w:hyperlink>
      <w:r w:rsidRPr="00A0784F">
        <w:rPr>
          <w:rFonts w:ascii="Arial" w:eastAsia="Times New Roman" w:hAnsi="Arial" w:cs="Arial"/>
          <w:color w:val="0B0C0C"/>
          <w:kern w:val="0"/>
          <w:sz w:val="27"/>
          <w:szCs w:val="27"/>
          <w:lang w:eastAsia="en-GB"/>
          <w14:ligatures w14:val="none"/>
        </w:rPr>
        <w:t>.</w:t>
      </w:r>
    </w:p>
    <w:p w14:paraId="6DFECA4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005 Reference ID: 5-005-20150618</w:t>
      </w:r>
    </w:p>
    <w:p w14:paraId="62A3C9DB"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18 06 2015 See </w:t>
      </w:r>
      <w:hyperlink r:id="rId23" w:history="1">
        <w:r w:rsidRPr="00A0784F">
          <w:rPr>
            <w:rFonts w:ascii="Arial" w:eastAsia="Times New Roman" w:hAnsi="Arial" w:cs="Arial"/>
            <w:color w:val="1D70B8"/>
            <w:kern w:val="0"/>
            <w:sz w:val="27"/>
            <w:szCs w:val="27"/>
            <w:u w:val="single"/>
            <w:lang w:eastAsia="en-GB"/>
            <w14:ligatures w14:val="none"/>
          </w:rPr>
          <w:t>previous version</w:t>
        </w:r>
      </w:hyperlink>
    </w:p>
    <w:p w14:paraId="4083C753"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How are ‘suitable areas’ defined in relation to wind energy development?</w:t>
      </w:r>
    </w:p>
    <w:p w14:paraId="1A82A328"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24" w:anchor="footnote49" w:history="1">
        <w:r w:rsidRPr="00A0784F">
          <w:rPr>
            <w:rFonts w:ascii="Arial" w:eastAsia="Times New Roman" w:hAnsi="Arial" w:cs="Arial"/>
            <w:color w:val="1D70B8"/>
            <w:kern w:val="0"/>
            <w:sz w:val="27"/>
            <w:szCs w:val="27"/>
            <w:u w:val="single"/>
            <w:lang w:eastAsia="en-GB"/>
            <w14:ligatures w14:val="none"/>
          </w:rPr>
          <w:t>Suitable areas</w:t>
        </w:r>
      </w:hyperlink>
      <w:r w:rsidRPr="00A0784F">
        <w:rPr>
          <w:rFonts w:ascii="Arial" w:eastAsia="Times New Roman" w:hAnsi="Arial" w:cs="Arial"/>
          <w:color w:val="0B0C0C"/>
          <w:kern w:val="0"/>
          <w:sz w:val="27"/>
          <w:szCs w:val="27"/>
          <w:lang w:eastAsia="en-GB"/>
          <w14:ligatures w14:val="none"/>
        </w:rPr>
        <w:t> for wind energy development will need to have been allocated clearly in a Local or Neighbourhood Plan. Maps showing the wind resource as favourable to wind turbines or similar will not be sufficient.</w:t>
      </w:r>
    </w:p>
    <w:p w14:paraId="20B9ED8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032 Reference ID: 5-032-150618</w:t>
      </w:r>
    </w:p>
    <w:p w14:paraId="17D93BA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18 06 2015</w:t>
      </w:r>
    </w:p>
    <w:p w14:paraId="03D1CAE3"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technical considerations relating to renewable energy technologies affect their siting?</w:t>
      </w:r>
    </w:p>
    <w:p w14:paraId="226124C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Examples of the considerations for particular renewable energy technologies that can affect their siting include proximity of grid connection infrastructure and site size, and:</w:t>
      </w:r>
    </w:p>
    <w:p w14:paraId="03CDD179" w14:textId="77777777" w:rsidR="00A0784F" w:rsidRPr="00A0784F" w:rsidRDefault="00A0784F" w:rsidP="00A0784F">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for biomass, appropriate transport links,</w:t>
      </w:r>
    </w:p>
    <w:p w14:paraId="09E9D23F" w14:textId="77777777" w:rsidR="00A0784F" w:rsidRPr="00A0784F" w:rsidRDefault="00A0784F" w:rsidP="00A0784F">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for hydro-electric power, sources of water,</w:t>
      </w:r>
    </w:p>
    <w:p w14:paraId="6A3372B5" w14:textId="77777777" w:rsidR="00A0784F" w:rsidRPr="00A0784F" w:rsidRDefault="00A0784F" w:rsidP="00A0784F">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for wind turbines, predicted wind resource, considerations relating to air safeguarding, electromagnetic interference and access for large vehicles.</w:t>
      </w:r>
    </w:p>
    <w:p w14:paraId="52C46FF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Discussions with industry experts can help to identify the siting requirements and likely impacts of technologies. The </w:t>
      </w:r>
      <w:hyperlink r:id="rId25" w:history="1">
        <w:r w:rsidRPr="00A0784F">
          <w:rPr>
            <w:rFonts w:ascii="Arial" w:eastAsia="Times New Roman" w:hAnsi="Arial" w:cs="Arial"/>
            <w:color w:val="1D70B8"/>
            <w:kern w:val="0"/>
            <w:sz w:val="27"/>
            <w:szCs w:val="27"/>
            <w:u w:val="single"/>
            <w:lang w:eastAsia="en-GB"/>
            <w14:ligatures w14:val="none"/>
          </w:rPr>
          <w:t>National Policy Statements</w:t>
        </w:r>
      </w:hyperlink>
      <w:r w:rsidRPr="00A0784F">
        <w:rPr>
          <w:rFonts w:ascii="Arial" w:eastAsia="Times New Roman" w:hAnsi="Arial" w:cs="Arial"/>
          <w:color w:val="0B0C0C"/>
          <w:kern w:val="0"/>
          <w:sz w:val="27"/>
          <w:szCs w:val="27"/>
          <w:lang w:eastAsia="en-GB"/>
          <w14:ligatures w14:val="none"/>
        </w:rPr>
        <w:t> on the Department for Energy Security and Net Zero’s website give generic and technology specific advice relevant to siting particular technologies. The Environment Agency has published advice showing which areas may be suitable for </w:t>
      </w:r>
      <w:hyperlink r:id="rId26" w:history="1">
        <w:r w:rsidRPr="00A0784F">
          <w:rPr>
            <w:rFonts w:ascii="Arial" w:eastAsia="Times New Roman" w:hAnsi="Arial" w:cs="Arial"/>
            <w:color w:val="1D70B8"/>
            <w:kern w:val="0"/>
            <w:sz w:val="27"/>
            <w:szCs w:val="27"/>
            <w:u w:val="single"/>
            <w:lang w:eastAsia="en-GB"/>
            <w14:ligatures w14:val="none"/>
          </w:rPr>
          <w:t>open loop ground source heat pumps</w:t>
        </w:r>
      </w:hyperlink>
      <w:r w:rsidRPr="00A0784F">
        <w:rPr>
          <w:rFonts w:ascii="Arial" w:eastAsia="Times New Roman" w:hAnsi="Arial" w:cs="Arial"/>
          <w:color w:val="0B0C0C"/>
          <w:kern w:val="0"/>
          <w:sz w:val="27"/>
          <w:szCs w:val="27"/>
          <w:lang w:eastAsia="en-GB"/>
          <w14:ligatures w14:val="none"/>
        </w:rPr>
        <w:t> as well as advice on the technologies it regulates.</w:t>
      </w:r>
    </w:p>
    <w:p w14:paraId="5507DA8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006 Reference ID: 5-006-20140306</w:t>
      </w:r>
    </w:p>
    <w:p w14:paraId="2958372E"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38499F07"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Do criteria based policies have a role in planning for renewable energy?</w:t>
      </w:r>
    </w:p>
    <w:p w14:paraId="7B6695A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Policies based on clear criteria can be useful when they are expressed positively (ie that proposals will be accepted where the impact is or can be made acceptable). In thinking about criteria the </w:t>
      </w:r>
      <w:hyperlink r:id="rId27" w:history="1">
        <w:r w:rsidRPr="00A0784F">
          <w:rPr>
            <w:rFonts w:ascii="Arial" w:eastAsia="Times New Roman" w:hAnsi="Arial" w:cs="Arial"/>
            <w:color w:val="1D70B8"/>
            <w:kern w:val="0"/>
            <w:sz w:val="27"/>
            <w:szCs w:val="27"/>
            <w:u w:val="single"/>
            <w:lang w:eastAsia="en-GB"/>
            <w14:ligatures w14:val="none"/>
          </w:rPr>
          <w:t>National Policy Statements</w:t>
        </w:r>
      </w:hyperlink>
      <w:r w:rsidRPr="00A0784F">
        <w:rPr>
          <w:rFonts w:ascii="Arial" w:eastAsia="Times New Roman" w:hAnsi="Arial" w:cs="Arial"/>
          <w:color w:val="0B0C0C"/>
          <w:kern w:val="0"/>
          <w:sz w:val="27"/>
          <w:szCs w:val="27"/>
          <w:lang w:eastAsia="en-GB"/>
          <w14:ligatures w14:val="none"/>
        </w:rPr>
        <w:t> published by the Department for Energy Security and Net Zero provide a useful starting point. These set out the impacts particular technologies can give rise to and how these should be addressed.</w:t>
      </w:r>
    </w:p>
    <w:p w14:paraId="2988E84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 shaping local criteria for inclusion in Local Plans and considering planning applications in the meantime, it is important to be clear that:</w:t>
      </w:r>
    </w:p>
    <w:p w14:paraId="04441BA7" w14:textId="77777777" w:rsidR="00A0784F" w:rsidRPr="00A0784F" w:rsidRDefault="00A0784F" w:rsidP="00A0784F">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need for renewable or low carbon energy does not automatically override environmental protections;</w:t>
      </w:r>
    </w:p>
    <w:p w14:paraId="43E5950F" w14:textId="77777777" w:rsidR="00A0784F" w:rsidRPr="00A0784F" w:rsidRDefault="00A0784F" w:rsidP="00A0784F">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cumulative impacts require particular attention, especially the increasing impact that wind turbines and large scale solar farms can have on landscape and local amenity as the number of turbines and solar arrays in an area increases;</w:t>
      </w:r>
    </w:p>
    <w:p w14:paraId="59942D8D" w14:textId="77777777" w:rsidR="00A0784F" w:rsidRPr="00A0784F" w:rsidRDefault="00A0784F" w:rsidP="00A0784F">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topography is an important factor in assessing whether wind turbines and large scale solar farms could have a damaging effect on landscape and recognise that the impact can be as great in predominately flat landscapes as in hilly or mountainous areas;</w:t>
      </w:r>
    </w:p>
    <w:p w14:paraId="24A4508B" w14:textId="77777777" w:rsidR="00A0784F" w:rsidRPr="00A0784F" w:rsidRDefault="00A0784F" w:rsidP="00A0784F">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great care should be taken to ensure heritage assets are conserved in a manner appropriate to their significance, including the impact of proposals on views important to their setting;</w:t>
      </w:r>
    </w:p>
    <w:p w14:paraId="4EB2A190" w14:textId="77777777" w:rsidR="00A0784F" w:rsidRPr="00A0784F" w:rsidRDefault="00A0784F" w:rsidP="00A0784F">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proposals in National Parks and Areas of Outstanding Natural Beauty, and in areas close to them where there could be an adverse impact on the protected area, will need careful consideration;</w:t>
      </w:r>
    </w:p>
    <w:p w14:paraId="35ECEC93" w14:textId="77777777" w:rsidR="00A0784F" w:rsidRPr="00A0784F" w:rsidRDefault="00A0784F" w:rsidP="00A0784F">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protecting local amenity is an important consideration which should be given proper weight in planning decisions.</w:t>
      </w:r>
    </w:p>
    <w:p w14:paraId="5D3CA66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007 Reference ID: 5-007-20140306</w:t>
      </w:r>
    </w:p>
    <w:p w14:paraId="7AC7D56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5F533F36"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Are buffer zones/separation distances appropriate between renewable energy development and other land uses?</w:t>
      </w:r>
    </w:p>
    <w:p w14:paraId="17ACF6A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planning authorities should not rule out otherwise acceptable renewable energy developments through inflexible rules on buffer zones or separation distances. Other than when dealing with set back distances for safety, distance of itself does not necessarily determine whether the impact of a proposal is unacceptable. Distance plays a part, but so does the local context including factors such as topography, the local environment and near-by land uses. This is why it is important to think about in what circumstances proposals are likely to be acceptable and plan on this basis.</w:t>
      </w:r>
    </w:p>
    <w:p w14:paraId="617E233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008 Reference ID: 5-008-20140306</w:t>
      </w:r>
    </w:p>
    <w:p w14:paraId="3F195BE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4AE6A659"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How can decentralised energy opportunities be identified?</w:t>
      </w:r>
    </w:p>
    <w:p w14:paraId="0D88757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is an important contribution to be made by planning that is independent of the contribution from other regimes such as building regulations. For example, getting the right land uses in the right place can underpin the success of a district heating scheme. Similarly, planning can influence opportunities for recovering and using waste heat from industrial installations.</w:t>
      </w:r>
    </w:p>
    <w:p w14:paraId="470FBEA8"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Planning can provide opportunities for, and encourage energy development which will produce waste heat, to be located close to existing or potential users of the heat. Planning can also help provide the new customers for the heat by encouraging development which could make use of the heat.</w:t>
      </w:r>
    </w:p>
    <w:p w14:paraId="42121E1B"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Information on local heat demand is published by the Department for Energy Security and Net Zero to assist planners and developers in identifying locations with opportunities for heat supply. See the </w:t>
      </w:r>
      <w:hyperlink r:id="rId28" w:history="1">
        <w:r w:rsidRPr="00A0784F">
          <w:rPr>
            <w:rFonts w:ascii="Arial" w:eastAsia="Times New Roman" w:hAnsi="Arial" w:cs="Arial"/>
            <w:color w:val="1D70B8"/>
            <w:kern w:val="0"/>
            <w:sz w:val="27"/>
            <w:szCs w:val="27"/>
            <w:u w:val="single"/>
            <w:lang w:eastAsia="en-GB"/>
            <w14:ligatures w14:val="none"/>
          </w:rPr>
          <w:t>national heat map</w:t>
        </w:r>
      </w:hyperlink>
      <w:r w:rsidRPr="00A0784F">
        <w:rPr>
          <w:rFonts w:ascii="Arial" w:eastAsia="Times New Roman" w:hAnsi="Arial" w:cs="Arial"/>
          <w:color w:val="0B0C0C"/>
          <w:kern w:val="0"/>
          <w:sz w:val="27"/>
          <w:szCs w:val="27"/>
          <w:lang w:eastAsia="en-GB"/>
          <w14:ligatures w14:val="none"/>
        </w:rPr>
        <w:t> and the </w:t>
      </w:r>
      <w:hyperlink r:id="rId29" w:anchor="chp-development-map" w:history="1">
        <w:r w:rsidRPr="00A0784F">
          <w:rPr>
            <w:rFonts w:ascii="Arial" w:eastAsia="Times New Roman" w:hAnsi="Arial" w:cs="Arial"/>
            <w:color w:val="1D70B8"/>
            <w:kern w:val="0"/>
            <w:sz w:val="27"/>
            <w:szCs w:val="27"/>
            <w:u w:val="single"/>
            <w:lang w:eastAsia="en-GB"/>
            <w14:ligatures w14:val="none"/>
          </w:rPr>
          <w:t>UK combined heat and power (CHP) development map</w:t>
        </w:r>
      </w:hyperlink>
      <w:r w:rsidRPr="00A0784F">
        <w:rPr>
          <w:rFonts w:ascii="Arial" w:eastAsia="Times New Roman" w:hAnsi="Arial" w:cs="Arial"/>
          <w:color w:val="0B0C0C"/>
          <w:kern w:val="0"/>
          <w:sz w:val="27"/>
          <w:szCs w:val="27"/>
          <w:lang w:eastAsia="en-GB"/>
          <w14:ligatures w14:val="none"/>
        </w:rPr>
        <w:t>. This information will be supplemented in future by further work, including detailed mapping, on the potential for combined heat and power and district heating and cooling.</w:t>
      </w:r>
    </w:p>
    <w:p w14:paraId="4C19BAF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View the </w:t>
      </w:r>
      <w:hyperlink r:id="rId30" w:history="1">
        <w:r w:rsidRPr="00A0784F">
          <w:rPr>
            <w:rFonts w:ascii="Arial" w:eastAsia="Times New Roman" w:hAnsi="Arial" w:cs="Arial"/>
            <w:color w:val="1D70B8"/>
            <w:kern w:val="0"/>
            <w:sz w:val="27"/>
            <w:szCs w:val="27"/>
            <w:u w:val="single"/>
            <w:lang w:eastAsia="en-GB"/>
            <w14:ligatures w14:val="none"/>
          </w:rPr>
          <w:t>National Planning Policy Framework definition of ‘decentralised energy’</w:t>
        </w:r>
      </w:hyperlink>
      <w:r w:rsidRPr="00A0784F">
        <w:rPr>
          <w:rFonts w:ascii="Arial" w:eastAsia="Times New Roman" w:hAnsi="Arial" w:cs="Arial"/>
          <w:color w:val="0B0C0C"/>
          <w:kern w:val="0"/>
          <w:sz w:val="27"/>
          <w:szCs w:val="27"/>
          <w:lang w:eastAsia="en-GB"/>
          <w14:ligatures w14:val="none"/>
        </w:rPr>
        <w:t>.</w:t>
      </w:r>
    </w:p>
    <w:p w14:paraId="12256DD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009 Reference ID: 5-009-20140306</w:t>
      </w:r>
    </w:p>
    <w:p w14:paraId="40F2C298"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3C2008A0" w14:textId="77777777" w:rsidR="00A0784F" w:rsidRPr="00A0784F" w:rsidRDefault="00A0784F" w:rsidP="00A0784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A0784F">
        <w:rPr>
          <w:rFonts w:ascii="Arial" w:eastAsia="Times New Roman" w:hAnsi="Arial" w:cs="Arial"/>
          <w:b/>
          <w:bCs/>
          <w:color w:val="0B0C0C"/>
          <w:kern w:val="0"/>
          <w:sz w:val="36"/>
          <w:szCs w:val="36"/>
          <w:lang w:eastAsia="en-GB"/>
          <w14:ligatures w14:val="none"/>
        </w:rPr>
        <w:t>Particular planning considerations for hydropower, active solar technology, solar farms and wind turbines</w:t>
      </w:r>
    </w:p>
    <w:p w14:paraId="33F7BFF0"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are the planning considerations that relate to specific renewable energy technologies?</w:t>
      </w:r>
    </w:p>
    <w:p w14:paraId="428B1D8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Renewable energy developments should be acceptable for their proposed location. In addition to the factors that should be considered regarding the acceptability of a location for any form of </w:t>
      </w:r>
      <w:hyperlink r:id="rId31" w:anchor="criteria-based-policies" w:history="1">
        <w:r w:rsidRPr="00A0784F">
          <w:rPr>
            <w:rFonts w:ascii="Arial" w:eastAsia="Times New Roman" w:hAnsi="Arial" w:cs="Arial"/>
            <w:color w:val="1D70B8"/>
            <w:kern w:val="0"/>
            <w:sz w:val="27"/>
            <w:szCs w:val="27"/>
            <w:u w:val="single"/>
            <w:lang w:eastAsia="en-GB"/>
            <w14:ligatures w14:val="none"/>
          </w:rPr>
          <w:t>renewable energy development</w:t>
        </w:r>
      </w:hyperlink>
      <w:r w:rsidRPr="00A0784F">
        <w:rPr>
          <w:rFonts w:ascii="Arial" w:eastAsia="Times New Roman" w:hAnsi="Arial" w:cs="Arial"/>
          <w:color w:val="0B0C0C"/>
          <w:kern w:val="0"/>
          <w:sz w:val="27"/>
          <w:szCs w:val="27"/>
          <w:lang w:eastAsia="en-GB"/>
          <w14:ligatures w14:val="none"/>
        </w:rPr>
        <w:t> there are particular considerations for the following technologies: </w:t>
      </w:r>
      <w:hyperlink r:id="rId32" w:anchor="hydropower" w:history="1">
        <w:r w:rsidRPr="00A0784F">
          <w:rPr>
            <w:rFonts w:ascii="Arial" w:eastAsia="Times New Roman" w:hAnsi="Arial" w:cs="Arial"/>
            <w:color w:val="1D70B8"/>
            <w:kern w:val="0"/>
            <w:sz w:val="27"/>
            <w:szCs w:val="27"/>
            <w:u w:val="single"/>
            <w:lang w:eastAsia="en-GB"/>
            <w14:ligatures w14:val="none"/>
          </w:rPr>
          <w:t>hydropower</w:t>
        </w:r>
      </w:hyperlink>
      <w:r w:rsidRPr="00A0784F">
        <w:rPr>
          <w:rFonts w:ascii="Arial" w:eastAsia="Times New Roman" w:hAnsi="Arial" w:cs="Arial"/>
          <w:color w:val="0B0C0C"/>
          <w:kern w:val="0"/>
          <w:sz w:val="27"/>
          <w:szCs w:val="27"/>
          <w:lang w:eastAsia="en-GB"/>
          <w14:ligatures w14:val="none"/>
        </w:rPr>
        <w:t>, </w:t>
      </w:r>
      <w:hyperlink r:id="rId33" w:anchor="active-solar-technology" w:history="1">
        <w:r w:rsidRPr="00A0784F">
          <w:rPr>
            <w:rFonts w:ascii="Arial" w:eastAsia="Times New Roman" w:hAnsi="Arial" w:cs="Arial"/>
            <w:color w:val="1D70B8"/>
            <w:kern w:val="0"/>
            <w:sz w:val="27"/>
            <w:szCs w:val="27"/>
            <w:u w:val="single"/>
            <w:lang w:eastAsia="en-GB"/>
            <w14:ligatures w14:val="none"/>
          </w:rPr>
          <w:t>active solar technology (photovoltaics and solar water heating)</w:t>
        </w:r>
      </w:hyperlink>
      <w:r w:rsidRPr="00A0784F">
        <w:rPr>
          <w:rFonts w:ascii="Arial" w:eastAsia="Times New Roman" w:hAnsi="Arial" w:cs="Arial"/>
          <w:color w:val="0B0C0C"/>
          <w:kern w:val="0"/>
          <w:sz w:val="27"/>
          <w:szCs w:val="27"/>
          <w:lang w:eastAsia="en-GB"/>
          <w14:ligatures w14:val="none"/>
        </w:rPr>
        <w:t>, </w:t>
      </w:r>
      <w:hyperlink r:id="rId34" w:anchor="solar-farms" w:history="1">
        <w:r w:rsidRPr="00A0784F">
          <w:rPr>
            <w:rFonts w:ascii="Arial" w:eastAsia="Times New Roman" w:hAnsi="Arial" w:cs="Arial"/>
            <w:color w:val="1D70B8"/>
            <w:kern w:val="0"/>
            <w:sz w:val="27"/>
            <w:szCs w:val="27"/>
            <w:u w:val="single"/>
            <w:lang w:eastAsia="en-GB"/>
            <w14:ligatures w14:val="none"/>
          </w:rPr>
          <w:t>solar farms</w:t>
        </w:r>
      </w:hyperlink>
      <w:r w:rsidRPr="00A0784F">
        <w:rPr>
          <w:rFonts w:ascii="Arial" w:eastAsia="Times New Roman" w:hAnsi="Arial" w:cs="Arial"/>
          <w:color w:val="0B0C0C"/>
          <w:kern w:val="0"/>
          <w:sz w:val="27"/>
          <w:szCs w:val="27"/>
          <w:lang w:eastAsia="en-GB"/>
          <w14:ligatures w14:val="none"/>
        </w:rPr>
        <w:t> and </w:t>
      </w:r>
      <w:hyperlink r:id="rId35" w:anchor="wind-turbines" w:history="1">
        <w:r w:rsidRPr="00A0784F">
          <w:rPr>
            <w:rFonts w:ascii="Arial" w:eastAsia="Times New Roman" w:hAnsi="Arial" w:cs="Arial"/>
            <w:color w:val="1D70B8"/>
            <w:kern w:val="0"/>
            <w:sz w:val="27"/>
            <w:szCs w:val="27"/>
            <w:u w:val="single"/>
            <w:lang w:eastAsia="en-GB"/>
            <w14:ligatures w14:val="none"/>
          </w:rPr>
          <w:t>wind turbines</w:t>
        </w:r>
      </w:hyperlink>
      <w:r w:rsidRPr="00A0784F">
        <w:rPr>
          <w:rFonts w:ascii="Arial" w:eastAsia="Times New Roman" w:hAnsi="Arial" w:cs="Arial"/>
          <w:color w:val="0B0C0C"/>
          <w:kern w:val="0"/>
          <w:sz w:val="27"/>
          <w:szCs w:val="27"/>
          <w:lang w:eastAsia="en-GB"/>
          <w14:ligatures w14:val="none"/>
        </w:rPr>
        <w:t>. Also, local planning authorities may wish to consider how planning conditions or planning obligations can mitigate the impacts described.</w:t>
      </w:r>
    </w:p>
    <w:p w14:paraId="6DF96903"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010 Reference ID: 5-010-20140306</w:t>
      </w:r>
    </w:p>
    <w:p w14:paraId="143E7A2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3BE1BAFC"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are the particular planning considerations that relate to hydropower?</w:t>
      </w:r>
    </w:p>
    <w:p w14:paraId="5DCF169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Planning applications for hydropower should normally be accompanied by a Flood Risk Assessment. Early engagement with the local planning authority and the Environment Agency will help to identify the potential planning issues, which are likely to be highly specific to the location. The Environment Agency has published </w:t>
      </w:r>
      <w:hyperlink r:id="rId36" w:history="1">
        <w:r w:rsidRPr="00A0784F">
          <w:rPr>
            <w:rFonts w:ascii="Arial" w:eastAsia="Times New Roman" w:hAnsi="Arial" w:cs="Arial"/>
            <w:color w:val="1D70B8"/>
            <w:kern w:val="0"/>
            <w:sz w:val="27"/>
            <w:szCs w:val="27"/>
            <w:u w:val="single"/>
            <w:lang w:eastAsia="en-GB"/>
            <w14:ligatures w14:val="none"/>
          </w:rPr>
          <w:t>advice on environmental protection for new hydropower schemes</w:t>
        </w:r>
      </w:hyperlink>
      <w:r w:rsidRPr="00A0784F">
        <w:rPr>
          <w:rFonts w:ascii="Arial" w:eastAsia="Times New Roman" w:hAnsi="Arial" w:cs="Arial"/>
          <w:color w:val="0B0C0C"/>
          <w:kern w:val="0"/>
          <w:sz w:val="27"/>
          <w:szCs w:val="27"/>
          <w:lang w:eastAsia="en-GB"/>
          <w14:ligatures w14:val="none"/>
        </w:rPr>
        <w:t>.</w:t>
      </w:r>
    </w:p>
    <w:p w14:paraId="6CA2457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011 Reference ID: 5-011-20140306</w:t>
      </w:r>
    </w:p>
    <w:p w14:paraId="284EEEC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772BCD91"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are the particular planning considerations that relate to active solar technology (photovoltaic and solar water heating)</w:t>
      </w:r>
    </w:p>
    <w:p w14:paraId="667A1C2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Active solar technology, (photovoltaic and solar water heating) on or related to a particular building is often </w:t>
      </w:r>
      <w:hyperlink r:id="rId37" w:history="1">
        <w:r w:rsidRPr="00A0784F">
          <w:rPr>
            <w:rFonts w:ascii="Arial" w:eastAsia="Times New Roman" w:hAnsi="Arial" w:cs="Arial"/>
            <w:color w:val="1D70B8"/>
            <w:kern w:val="0"/>
            <w:sz w:val="27"/>
            <w:szCs w:val="27"/>
            <w:u w:val="single"/>
            <w:lang w:eastAsia="en-GB"/>
            <w14:ligatures w14:val="none"/>
          </w:rPr>
          <w:t>permitted development</w:t>
        </w:r>
      </w:hyperlink>
      <w:r w:rsidRPr="00A0784F">
        <w:rPr>
          <w:rFonts w:ascii="Arial" w:eastAsia="Times New Roman" w:hAnsi="Arial" w:cs="Arial"/>
          <w:color w:val="0B0C0C"/>
          <w:kern w:val="0"/>
          <w:sz w:val="27"/>
          <w:szCs w:val="27"/>
          <w:lang w:eastAsia="en-GB"/>
          <w14:ligatures w14:val="none"/>
        </w:rPr>
        <w:t> (which does not require a planning application) provided the installation is not of an unusual design, or does not involve a listed building, and is not in a designated area. Where a planning application is required, factors to bear in mind include:</w:t>
      </w:r>
    </w:p>
    <w:p w14:paraId="7595D98E" w14:textId="77777777" w:rsidR="00A0784F" w:rsidRPr="00A0784F" w:rsidRDefault="00A0784F" w:rsidP="00A0784F">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importance of siting systems in situations where they can collect the most energy from the sun;</w:t>
      </w:r>
    </w:p>
    <w:p w14:paraId="10C805F0" w14:textId="77777777" w:rsidR="00A0784F" w:rsidRPr="00A0784F" w:rsidRDefault="00A0784F" w:rsidP="00A0784F">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need for sufficient area of solar modules to produce the required energy output from the system;</w:t>
      </w:r>
    </w:p>
    <w:p w14:paraId="64988AA6" w14:textId="77777777" w:rsidR="00A0784F" w:rsidRPr="00A0784F" w:rsidRDefault="00A0784F" w:rsidP="00A0784F">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effect on a protected area such as an Area of Outstanding Natural Beauty or other designated areas;</w:t>
      </w:r>
    </w:p>
    <w:p w14:paraId="4B0BE090" w14:textId="77777777" w:rsidR="00A0784F" w:rsidRPr="00A0784F" w:rsidRDefault="00A0784F" w:rsidP="00A0784F">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colour and appearance of the modules, particularly if not a standard design.</w:t>
      </w:r>
    </w:p>
    <w:p w14:paraId="21B2E17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012 Reference ID: 5-012-20140306</w:t>
      </w:r>
    </w:p>
    <w:p w14:paraId="66811E7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027AEC4A"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are the particular planning considerations that relate to large scale ground-mounted solar photovoltaic farms?</w:t>
      </w:r>
    </w:p>
    <w:p w14:paraId="40C78EA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deployment of large-scale solar farms can have a negative impact on the rural environment, particularly in undulating landscapes. However, the visual impact of a well-planned and well-screened solar farm can be properly addressed within the landscape if planned sensitively.</w:t>
      </w:r>
    </w:p>
    <w:p w14:paraId="42B95ABE"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Particular factors a local planning authority will need to consider include:</w:t>
      </w:r>
    </w:p>
    <w:p w14:paraId="5BDAF7F9"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encouraging the effective use of land by focussing large scale solar farms on previously developed and non agricultural land, provided that it is not of high environmental value;</w:t>
      </w:r>
    </w:p>
    <w:p w14:paraId="7A67FA33"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where a proposal involves greenfield land, whether (i) the proposed use of any agricultural land has been shown to be necessary and poorer quality land has been used in preference to higher quality land; and (ii) the proposal allows for continued agricultural use where applicable and/or encourages biodiversity improvements around arrays. See also a </w:t>
      </w:r>
      <w:hyperlink r:id="rId38" w:history="1">
        <w:r w:rsidRPr="00A0784F">
          <w:rPr>
            <w:rFonts w:ascii="Arial" w:eastAsia="Times New Roman" w:hAnsi="Arial" w:cs="Arial"/>
            <w:color w:val="1D70B8"/>
            <w:kern w:val="0"/>
            <w:sz w:val="27"/>
            <w:szCs w:val="27"/>
            <w:u w:val="single"/>
            <w:lang w:eastAsia="en-GB"/>
            <w14:ligatures w14:val="none"/>
          </w:rPr>
          <w:t>speech by the Minister for Energy and Climate Change, the Rt Hon Gregory Barker MP, to the solar PV industry on 25 April 2013</w:t>
        </w:r>
      </w:hyperlink>
      <w:r w:rsidRPr="00A0784F">
        <w:rPr>
          <w:rFonts w:ascii="Arial" w:eastAsia="Times New Roman" w:hAnsi="Arial" w:cs="Arial"/>
          <w:color w:val="0B0C0C"/>
          <w:kern w:val="0"/>
          <w:sz w:val="27"/>
          <w:szCs w:val="27"/>
          <w:lang w:eastAsia="en-GB"/>
          <w14:ligatures w14:val="none"/>
        </w:rPr>
        <w:t> and </w:t>
      </w:r>
      <w:hyperlink r:id="rId39" w:history="1">
        <w:r w:rsidRPr="00A0784F">
          <w:rPr>
            <w:rFonts w:ascii="Arial" w:eastAsia="Times New Roman" w:hAnsi="Arial" w:cs="Arial"/>
            <w:color w:val="1D70B8"/>
            <w:kern w:val="0"/>
            <w:sz w:val="27"/>
            <w:szCs w:val="27"/>
            <w:u w:val="single"/>
            <w:lang w:eastAsia="en-GB"/>
            <w14:ligatures w14:val="none"/>
          </w:rPr>
          <w:t>written ministerial statement on solar energy: protecting the local and global environment made on 25 March 2015</w:t>
        </w:r>
      </w:hyperlink>
      <w:r w:rsidRPr="00A0784F">
        <w:rPr>
          <w:rFonts w:ascii="Arial" w:eastAsia="Times New Roman" w:hAnsi="Arial" w:cs="Arial"/>
          <w:color w:val="0B0C0C"/>
          <w:kern w:val="0"/>
          <w:sz w:val="27"/>
          <w:szCs w:val="27"/>
          <w:lang w:eastAsia="en-GB"/>
          <w14:ligatures w14:val="none"/>
        </w:rPr>
        <w:t>.</w:t>
      </w:r>
    </w:p>
    <w:p w14:paraId="01F66234"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that solar farms are normally temporary structures and planning conditions can be used to ensure that the installations are removed when no longer in use and the land is restored to its previous use;</w:t>
      </w:r>
    </w:p>
    <w:p w14:paraId="6422191D"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proposal’s visual impact, the effect on landscape of glint and glare (see </w:t>
      </w:r>
      <w:hyperlink r:id="rId40" w:anchor="cumulative-landscape-and-visual-impacts" w:history="1">
        <w:r w:rsidRPr="00A0784F">
          <w:rPr>
            <w:rFonts w:ascii="Arial" w:eastAsia="Times New Roman" w:hAnsi="Arial" w:cs="Arial"/>
            <w:color w:val="1D70B8"/>
            <w:kern w:val="0"/>
            <w:sz w:val="27"/>
            <w:szCs w:val="27"/>
            <w:u w:val="single"/>
            <w:lang w:eastAsia="en-GB"/>
            <w14:ligatures w14:val="none"/>
          </w:rPr>
          <w:t>guidance on landscape assessment</w:t>
        </w:r>
      </w:hyperlink>
      <w:r w:rsidRPr="00A0784F">
        <w:rPr>
          <w:rFonts w:ascii="Arial" w:eastAsia="Times New Roman" w:hAnsi="Arial" w:cs="Arial"/>
          <w:color w:val="0B0C0C"/>
          <w:kern w:val="0"/>
          <w:sz w:val="27"/>
          <w:szCs w:val="27"/>
          <w:lang w:eastAsia="en-GB"/>
          <w14:ligatures w14:val="none"/>
        </w:rPr>
        <w:t>) and on neighbouring uses and aircraft safety;</w:t>
      </w:r>
    </w:p>
    <w:p w14:paraId="0B2A5E88"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extent to which there may be additional impacts if solar arrays follow the daily movement of the sun;</w:t>
      </w:r>
    </w:p>
    <w:p w14:paraId="73794E96"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need for, and impact of, security measures such as lights and fencing;</w:t>
      </w:r>
    </w:p>
    <w:p w14:paraId="0FC8BFC4"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great care should be taken to ensure heritage assets are conserved in a manner appropriate to their significance, including the impact of proposals on views important to their setting. As the significance of a heritage asset derives not only from its physical presence, but also from its setting, careful consideration should be given to the impact of large scale solar farms on such assets. Depending on their scale, design and prominence, a large scale solar farm within the setting of a heritage asset may cause substantial harm to the significance of the asset;</w:t>
      </w:r>
    </w:p>
    <w:p w14:paraId="23716BA4"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potential to mitigate landscape and visual impacts through, for example, screening with native hedges;</w:t>
      </w:r>
    </w:p>
    <w:p w14:paraId="513B3736" w14:textId="77777777" w:rsidR="00A0784F" w:rsidRPr="00A0784F" w:rsidRDefault="00A0784F" w:rsidP="00A0784F">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energy generating potential, which can vary for a number of reasons including, latitude and aspect.</w:t>
      </w:r>
    </w:p>
    <w:p w14:paraId="67C1FB2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approach to assessing cumulative landscape and visual impact of large scale solar farms is likely to be the same as assessing the </w:t>
      </w:r>
      <w:hyperlink r:id="rId41" w:anchor="impact-of-wind-turbines" w:history="1">
        <w:r w:rsidRPr="00A0784F">
          <w:rPr>
            <w:rFonts w:ascii="Arial" w:eastAsia="Times New Roman" w:hAnsi="Arial" w:cs="Arial"/>
            <w:color w:val="1D70B8"/>
            <w:kern w:val="0"/>
            <w:sz w:val="27"/>
            <w:szCs w:val="27"/>
            <w:u w:val="single"/>
            <w:lang w:eastAsia="en-GB"/>
            <w14:ligatures w14:val="none"/>
          </w:rPr>
          <w:t>impact of wind turbines</w:t>
        </w:r>
      </w:hyperlink>
      <w:r w:rsidRPr="00A0784F">
        <w:rPr>
          <w:rFonts w:ascii="Arial" w:eastAsia="Times New Roman" w:hAnsi="Arial" w:cs="Arial"/>
          <w:color w:val="0B0C0C"/>
          <w:kern w:val="0"/>
          <w:sz w:val="27"/>
          <w:szCs w:val="27"/>
          <w:lang w:eastAsia="en-GB"/>
          <w14:ligatures w14:val="none"/>
        </w:rPr>
        <w:t>. However, in the case of ground-mounted solar panels it should be noted that with effective screening and appropriate land topography the area of a zone of visual influence could be zero.</w:t>
      </w:r>
    </w:p>
    <w:p w14:paraId="17CC7CD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Related policy: </w:t>
      </w:r>
      <w:hyperlink r:id="rId42" w:history="1">
        <w:r w:rsidRPr="00A0784F">
          <w:rPr>
            <w:rFonts w:ascii="Arial" w:eastAsia="Times New Roman" w:hAnsi="Arial" w:cs="Arial"/>
            <w:color w:val="1D70B8"/>
            <w:kern w:val="0"/>
            <w:sz w:val="27"/>
            <w:szCs w:val="27"/>
            <w:u w:val="single"/>
            <w:lang w:eastAsia="en-GB"/>
            <w14:ligatures w14:val="none"/>
          </w:rPr>
          <w:t>paragraph 170</w:t>
        </w:r>
      </w:hyperlink>
    </w:p>
    <w:p w14:paraId="1ADDA84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013 Reference ID: 5-013-20150327</w:t>
      </w:r>
    </w:p>
    <w:p w14:paraId="448EA9A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27 03 2015 See </w:t>
      </w:r>
      <w:hyperlink r:id="rId43" w:history="1">
        <w:r w:rsidRPr="00A0784F">
          <w:rPr>
            <w:rFonts w:ascii="Arial" w:eastAsia="Times New Roman" w:hAnsi="Arial" w:cs="Arial"/>
            <w:color w:val="1D70B8"/>
            <w:kern w:val="0"/>
            <w:sz w:val="27"/>
            <w:szCs w:val="27"/>
            <w:u w:val="single"/>
            <w:lang w:eastAsia="en-GB"/>
            <w14:ligatures w14:val="none"/>
          </w:rPr>
          <w:t>previous version</w:t>
        </w:r>
      </w:hyperlink>
    </w:p>
    <w:p w14:paraId="300E518B"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are the particular planning considerations that relate to wind turbines?</w:t>
      </w:r>
    </w:p>
    <w:p w14:paraId="305B02F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following questions should be considered when determining applications for wind turbines:</w:t>
      </w:r>
    </w:p>
    <w:p w14:paraId="2E8E4DF2"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4" w:anchor="Do-local-people-have-the-final-say" w:history="1">
        <w:r w:rsidRPr="00A0784F">
          <w:rPr>
            <w:rFonts w:ascii="Arial" w:eastAsia="Times New Roman" w:hAnsi="Arial" w:cs="Arial"/>
            <w:color w:val="1D70B8"/>
            <w:kern w:val="0"/>
            <w:sz w:val="27"/>
            <w:szCs w:val="27"/>
            <w:u w:val="single"/>
            <w:lang w:eastAsia="en-GB"/>
            <w14:ligatures w14:val="none"/>
          </w:rPr>
          <w:t>Do local people have the final say on wind farm applications?</w:t>
        </w:r>
      </w:hyperlink>
    </w:p>
    <w:p w14:paraId="245112EF"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5" w:anchor="noise-impacts-of-wind-turbines" w:history="1">
        <w:r w:rsidRPr="00A0784F">
          <w:rPr>
            <w:rFonts w:ascii="Arial" w:eastAsia="Times New Roman" w:hAnsi="Arial" w:cs="Arial"/>
            <w:color w:val="1D70B8"/>
            <w:kern w:val="0"/>
            <w:sz w:val="27"/>
            <w:szCs w:val="27"/>
            <w:u w:val="single"/>
            <w:lang w:eastAsia="en-GB"/>
            <w14:ligatures w14:val="none"/>
          </w:rPr>
          <w:t>How are noise impacts of wind turbines assessed?</w:t>
        </w:r>
      </w:hyperlink>
    </w:p>
    <w:p w14:paraId="55502261"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6" w:anchor="wind-turbine-applications" w:history="1">
        <w:r w:rsidRPr="00A0784F">
          <w:rPr>
            <w:rFonts w:ascii="Arial" w:eastAsia="Times New Roman" w:hAnsi="Arial" w:cs="Arial"/>
            <w:color w:val="1D70B8"/>
            <w:kern w:val="0"/>
            <w:sz w:val="27"/>
            <w:szCs w:val="27"/>
            <w:u w:val="single"/>
            <w:lang w:eastAsia="en-GB"/>
            <w14:ligatures w14:val="none"/>
          </w:rPr>
          <w:t>Is safety an issue when wind turbine applications are assessed?</w:t>
        </w:r>
      </w:hyperlink>
    </w:p>
    <w:p w14:paraId="7E43CEFB"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7" w:anchor="issue-for-wind-turbine-applications" w:history="1">
        <w:r w:rsidRPr="00A0784F">
          <w:rPr>
            <w:rFonts w:ascii="Arial" w:eastAsia="Times New Roman" w:hAnsi="Arial" w:cs="Arial"/>
            <w:color w:val="1D70B8"/>
            <w:kern w:val="0"/>
            <w:sz w:val="27"/>
            <w:szCs w:val="27"/>
            <w:u w:val="single"/>
            <w:lang w:eastAsia="en-GB"/>
            <w14:ligatures w14:val="none"/>
          </w:rPr>
          <w:t>Is interference with electromagnetic transmissions an issue for wind turbine applications?</w:t>
        </w:r>
      </w:hyperlink>
    </w:p>
    <w:p w14:paraId="0A687B08"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8" w:anchor="risk-of-wind-turbines" w:history="1">
        <w:r w:rsidRPr="00A0784F">
          <w:rPr>
            <w:rFonts w:ascii="Arial" w:eastAsia="Times New Roman" w:hAnsi="Arial" w:cs="Arial"/>
            <w:color w:val="1D70B8"/>
            <w:kern w:val="0"/>
            <w:sz w:val="27"/>
            <w:szCs w:val="27"/>
            <w:u w:val="single"/>
            <w:lang w:eastAsia="en-GB"/>
            <w14:ligatures w14:val="none"/>
          </w:rPr>
          <w:t>How can the risk of wind turbines be assessed for ecology?</w:t>
        </w:r>
      </w:hyperlink>
    </w:p>
    <w:p w14:paraId="6544A185"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9" w:anchor="heritage-be-taken-into-account" w:history="1">
        <w:r w:rsidRPr="00A0784F">
          <w:rPr>
            <w:rFonts w:ascii="Arial" w:eastAsia="Times New Roman" w:hAnsi="Arial" w:cs="Arial"/>
            <w:color w:val="1D70B8"/>
            <w:kern w:val="0"/>
            <w:sz w:val="27"/>
            <w:szCs w:val="27"/>
            <w:u w:val="single"/>
            <w:lang w:eastAsia="en-GB"/>
            <w14:ligatures w14:val="none"/>
          </w:rPr>
          <w:t>How should heritage be taken into account in assessing wind turbine applications?</w:t>
        </w:r>
      </w:hyperlink>
    </w:p>
    <w:p w14:paraId="14F54D53"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50" w:anchor="shadow-flicker-and-reflected-light" w:history="1">
        <w:r w:rsidRPr="00A0784F">
          <w:rPr>
            <w:rFonts w:ascii="Arial" w:eastAsia="Times New Roman" w:hAnsi="Arial" w:cs="Arial"/>
            <w:color w:val="1D70B8"/>
            <w:kern w:val="0"/>
            <w:sz w:val="27"/>
            <w:szCs w:val="27"/>
            <w:u w:val="single"/>
            <w:lang w:eastAsia="en-GB"/>
            <w14:ligatures w14:val="none"/>
          </w:rPr>
          <w:t>Is shadow flicker and reflected light an issue for wind turbine applications?</w:t>
        </w:r>
      </w:hyperlink>
    </w:p>
    <w:p w14:paraId="21A4331C"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51" w:anchor="energy-output" w:history="1">
        <w:r w:rsidRPr="00A0784F">
          <w:rPr>
            <w:rFonts w:ascii="Arial" w:eastAsia="Times New Roman" w:hAnsi="Arial" w:cs="Arial"/>
            <w:color w:val="1D70B8"/>
            <w:kern w:val="0"/>
            <w:sz w:val="27"/>
            <w:szCs w:val="27"/>
            <w:u w:val="single"/>
            <w:lang w:eastAsia="en-GB"/>
            <w14:ligatures w14:val="none"/>
          </w:rPr>
          <w:t>How to assess the likely energy output of a wind turbine?</w:t>
        </w:r>
      </w:hyperlink>
    </w:p>
    <w:p w14:paraId="3349775D"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52" w:anchor="cumulative-landscape-and-visual-impacts" w:history="1">
        <w:r w:rsidRPr="00A0784F">
          <w:rPr>
            <w:rFonts w:ascii="Arial" w:eastAsia="Times New Roman" w:hAnsi="Arial" w:cs="Arial"/>
            <w:color w:val="1D70B8"/>
            <w:kern w:val="0"/>
            <w:sz w:val="27"/>
            <w:szCs w:val="27"/>
            <w:u w:val="single"/>
            <w:lang w:eastAsia="en-GB"/>
            <w14:ligatures w14:val="none"/>
          </w:rPr>
          <w:t>How should cumulative landscape and visual impacts from wind turbines be assessed?</w:t>
        </w:r>
      </w:hyperlink>
    </w:p>
    <w:p w14:paraId="2474FB7C"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53" w:anchor="impact-of-wind-turbines" w:history="1">
        <w:r w:rsidRPr="00A0784F">
          <w:rPr>
            <w:rFonts w:ascii="Arial" w:eastAsia="Times New Roman" w:hAnsi="Arial" w:cs="Arial"/>
            <w:color w:val="1D70B8"/>
            <w:kern w:val="0"/>
            <w:sz w:val="27"/>
            <w:szCs w:val="27"/>
            <w:u w:val="single"/>
            <w:lang w:eastAsia="en-GB"/>
            <w14:ligatures w14:val="none"/>
          </w:rPr>
          <w:t>What information is needed to assess cumulative landscape and visual impacts of wind turbines?</w:t>
        </w:r>
      </w:hyperlink>
    </w:p>
    <w:p w14:paraId="36E08F93" w14:textId="77777777" w:rsidR="00A0784F" w:rsidRPr="00A0784F" w:rsidRDefault="00A0784F" w:rsidP="00A0784F">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54" w:anchor="Decommissioning-wind-turbines" w:history="1">
        <w:r w:rsidRPr="00A0784F">
          <w:rPr>
            <w:rFonts w:ascii="Arial" w:eastAsia="Times New Roman" w:hAnsi="Arial" w:cs="Arial"/>
            <w:color w:val="1D70B8"/>
            <w:kern w:val="0"/>
            <w:sz w:val="27"/>
            <w:szCs w:val="27"/>
            <w:u w:val="single"/>
            <w:lang w:eastAsia="en-GB"/>
            <w14:ligatures w14:val="none"/>
          </w:rPr>
          <w:t>Decommissioning wind turbines</w:t>
        </w:r>
      </w:hyperlink>
    </w:p>
    <w:p w14:paraId="5FF0D7D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014 Reference ID: 5-014-20150618</w:t>
      </w:r>
    </w:p>
    <w:p w14:paraId="359519F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18 06 2015 See </w:t>
      </w:r>
      <w:hyperlink r:id="rId55" w:history="1">
        <w:r w:rsidRPr="00A0784F">
          <w:rPr>
            <w:rFonts w:ascii="Arial" w:eastAsia="Times New Roman" w:hAnsi="Arial" w:cs="Arial"/>
            <w:color w:val="1D70B8"/>
            <w:kern w:val="0"/>
            <w:sz w:val="27"/>
            <w:szCs w:val="27"/>
            <w:u w:val="single"/>
            <w:lang w:eastAsia="en-GB"/>
            <w14:ligatures w14:val="none"/>
          </w:rPr>
          <w:t>previous version</w:t>
        </w:r>
      </w:hyperlink>
    </w:p>
    <w:p w14:paraId="3412D24E"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Do local people have the final say on wind farm applications?</w:t>
      </w:r>
    </w:p>
    <w:p w14:paraId="511ADA8B"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w:t>
      </w:r>
      <w:hyperlink r:id="rId56" w:history="1">
        <w:r w:rsidRPr="00A0784F">
          <w:rPr>
            <w:rFonts w:ascii="Arial" w:eastAsia="Times New Roman" w:hAnsi="Arial" w:cs="Arial"/>
            <w:color w:val="1D70B8"/>
            <w:kern w:val="0"/>
            <w:sz w:val="27"/>
            <w:szCs w:val="27"/>
            <w:u w:val="single"/>
            <w:lang w:eastAsia="en-GB"/>
            <w14:ligatures w14:val="none"/>
          </w:rPr>
          <w:t>written ministerial statement</w:t>
        </w:r>
      </w:hyperlink>
      <w:r w:rsidRPr="00A0784F">
        <w:rPr>
          <w:rFonts w:ascii="Arial" w:eastAsia="Times New Roman" w:hAnsi="Arial" w:cs="Arial"/>
          <w:color w:val="0B0C0C"/>
          <w:kern w:val="0"/>
          <w:sz w:val="27"/>
          <w:szCs w:val="27"/>
          <w:lang w:eastAsia="en-GB"/>
          <w14:ligatures w14:val="none"/>
        </w:rPr>
        <w:t> made on 18 June 2015 is quite clear that when considering applications for wind energy development, local planning authorities should (subject to the transitional arrangement) only grant planning permission if:</w:t>
      </w:r>
    </w:p>
    <w:p w14:paraId="0E3EE908" w14:textId="77777777" w:rsidR="00A0784F" w:rsidRPr="00A0784F" w:rsidRDefault="00A0784F" w:rsidP="00A0784F">
      <w:pPr>
        <w:numPr>
          <w:ilvl w:val="0"/>
          <w:numId w:val="8"/>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development site is in an area identified as suitable for wind energy development in a Local or Neighbourhood Plan; and</w:t>
      </w:r>
    </w:p>
    <w:p w14:paraId="1E7E85EA" w14:textId="77777777" w:rsidR="00A0784F" w:rsidRPr="00A0784F" w:rsidRDefault="00A0784F" w:rsidP="00A0784F">
      <w:pPr>
        <w:numPr>
          <w:ilvl w:val="0"/>
          <w:numId w:val="8"/>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following consultation, it can be demonstrated that the planning impacts identified by affected local communities have been fully addressed and therefore the proposal has their backing.</w:t>
      </w:r>
    </w:p>
    <w:p w14:paraId="76E429B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Whether the proposal has the backing of the affected local community is a planning judgement for the local planning authority.</w:t>
      </w:r>
    </w:p>
    <w:p w14:paraId="2A2124C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033 Reference ID: 5-033-150618</w:t>
      </w:r>
    </w:p>
    <w:p w14:paraId="548DA5B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18 1506</w:t>
      </w:r>
    </w:p>
    <w:p w14:paraId="591B1DC5"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How are noise impacts of wind turbines assessed?</w:t>
      </w:r>
    </w:p>
    <w:p w14:paraId="0051E291"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report, </w:t>
      </w:r>
      <w:hyperlink r:id="rId57" w:history="1">
        <w:r w:rsidRPr="00A0784F">
          <w:rPr>
            <w:rFonts w:ascii="Arial" w:eastAsia="Times New Roman" w:hAnsi="Arial" w:cs="Arial"/>
            <w:color w:val="1D70B8"/>
            <w:kern w:val="0"/>
            <w:sz w:val="27"/>
            <w:szCs w:val="27"/>
            <w:u w:val="single"/>
            <w:lang w:eastAsia="en-GB"/>
            <w14:ligatures w14:val="none"/>
          </w:rPr>
          <w:t>ETSU-R-97: The assessment and rating of noise from wind farms</w:t>
        </w:r>
      </w:hyperlink>
      <w:r w:rsidRPr="00A0784F">
        <w:rPr>
          <w:rFonts w:ascii="Arial" w:eastAsia="Times New Roman" w:hAnsi="Arial" w:cs="Arial"/>
          <w:color w:val="0B0C0C"/>
          <w:kern w:val="0"/>
          <w:sz w:val="27"/>
          <w:szCs w:val="27"/>
          <w:lang w:eastAsia="en-GB"/>
          <w14:ligatures w14:val="none"/>
        </w:rPr>
        <w:t> should be used by local planning authorities when assessing and rating noise from wind energy developments. Good practice guidance on noise assessments of wind farms has been prepared by the Institute of Acoustics. The Department for Energy Security and Net Zero accept that it represents current industry good practice and endorses it as a supplement to ETSU-R-97. It is available on the </w:t>
      </w:r>
      <w:hyperlink r:id="rId58" w:history="1">
        <w:r w:rsidRPr="00A0784F">
          <w:rPr>
            <w:rFonts w:ascii="Arial" w:eastAsia="Times New Roman" w:hAnsi="Arial" w:cs="Arial"/>
            <w:color w:val="1D70B8"/>
            <w:kern w:val="0"/>
            <w:sz w:val="27"/>
            <w:szCs w:val="27"/>
            <w:u w:val="single"/>
            <w:lang w:eastAsia="en-GB"/>
            <w14:ligatures w14:val="none"/>
          </w:rPr>
          <w:t>Department for Energy Security and Net Zero’s website</w:t>
        </w:r>
      </w:hyperlink>
      <w:r w:rsidRPr="00A0784F">
        <w:rPr>
          <w:rFonts w:ascii="Arial" w:eastAsia="Times New Roman" w:hAnsi="Arial" w:cs="Arial"/>
          <w:color w:val="0B0C0C"/>
          <w:kern w:val="0"/>
          <w:sz w:val="27"/>
          <w:szCs w:val="27"/>
          <w:lang w:eastAsia="en-GB"/>
          <w14:ligatures w14:val="none"/>
        </w:rPr>
        <w:t>.</w:t>
      </w:r>
    </w:p>
    <w:p w14:paraId="606D798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015 Reference ID: 5-015-20140306</w:t>
      </w:r>
    </w:p>
    <w:p w14:paraId="62DC8B0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41CFA434"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Is safety an issue when wind turbine applications are assessed?</w:t>
      </w:r>
    </w:p>
    <w:p w14:paraId="55DB2BFE"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Safety may be an issue in certain circumstances, but risks can often be mitigated through appropriate siting and consultation with affected bodies:</w:t>
      </w:r>
    </w:p>
    <w:p w14:paraId="54338597"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Buildings</w:t>
      </w:r>
    </w:p>
    <w:p w14:paraId="5798D549"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Fall over distance (ie the height of the turbine to the tip of the blade) plus 10% is often used as a safe separation distance. This is often less than the minimum desirable distance between wind turbines and occupied buildings calculated on the basis of expected noise levels and due to visual impact.</w:t>
      </w:r>
    </w:p>
    <w:p w14:paraId="1D3B2CC9"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Power lines</w:t>
      </w:r>
    </w:p>
    <w:p w14:paraId="0231D7A4"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National Grid, and/or the relevant Distribution Network Operators will be able to advise on the required standards for wind turbines being separated from existing overhead power lines.</w:t>
      </w:r>
    </w:p>
    <w:p w14:paraId="4D2A6008"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Air traffic and safety</w:t>
      </w:r>
    </w:p>
    <w:p w14:paraId="6DB2E840"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Wind turbines may have an adverse affect on air traffic movement and safety. Firstly, they may represent a risk of collision with low flying aircraft, and secondly, they may interfere with the proper operation of radar by limiting the capacity to handle air traffic, and aircraft instrument landing systems. There is a 15 kilometre (km) consultation zone and 30km or 32km advisory zone around every civilian air traffic radar, although objections can be raised to developments that lie beyond the 32km advisory zone. There is a c.15km statutory safeguarding consultation zone around Ministry of Defence aerodromes within which wind turbine proposals would be assessed for physical obstruction. See the </w:t>
      </w:r>
      <w:hyperlink r:id="rId59" w:history="1">
        <w:r w:rsidRPr="00A0784F">
          <w:rPr>
            <w:rFonts w:ascii="Arial" w:eastAsia="Times New Roman" w:hAnsi="Arial" w:cs="Arial"/>
            <w:color w:val="1D70B8"/>
            <w:kern w:val="0"/>
            <w:sz w:val="27"/>
            <w:szCs w:val="27"/>
            <w:u w:val="single"/>
            <w:lang w:eastAsia="en-GB"/>
            <w14:ligatures w14:val="none"/>
          </w:rPr>
          <w:t>Town and Country Planning (safeguarded aerodromes, technical sites and military explosives storage areas) direction 2002</w:t>
        </w:r>
      </w:hyperlink>
      <w:r w:rsidRPr="00A0784F">
        <w:rPr>
          <w:rFonts w:ascii="Arial" w:eastAsia="Times New Roman" w:hAnsi="Arial" w:cs="Arial"/>
          <w:color w:val="0B0C0C"/>
          <w:kern w:val="0"/>
          <w:sz w:val="27"/>
          <w:szCs w:val="27"/>
          <w:lang w:eastAsia="en-GB"/>
          <w14:ligatures w14:val="none"/>
        </w:rPr>
        <w:t>. Further advice on wind energy and aviation can be found on the </w:t>
      </w:r>
      <w:hyperlink r:id="rId60" w:history="1">
        <w:r w:rsidRPr="00A0784F">
          <w:rPr>
            <w:rFonts w:ascii="Arial" w:eastAsia="Times New Roman" w:hAnsi="Arial" w:cs="Arial"/>
            <w:color w:val="1D70B8"/>
            <w:kern w:val="0"/>
            <w:sz w:val="27"/>
            <w:szCs w:val="27"/>
            <w:u w:val="single"/>
            <w:lang w:eastAsia="en-GB"/>
            <w14:ligatures w14:val="none"/>
          </w:rPr>
          <w:t>Civil Aviation Authority</w:t>
        </w:r>
      </w:hyperlink>
      <w:r w:rsidRPr="00A0784F">
        <w:rPr>
          <w:rFonts w:ascii="Arial" w:eastAsia="Times New Roman" w:hAnsi="Arial" w:cs="Arial"/>
          <w:color w:val="0B0C0C"/>
          <w:kern w:val="0"/>
          <w:sz w:val="27"/>
          <w:szCs w:val="27"/>
          <w:lang w:eastAsia="en-GB"/>
          <w14:ligatures w14:val="none"/>
        </w:rPr>
        <w:t> and </w:t>
      </w:r>
      <w:hyperlink r:id="rId61" w:history="1">
        <w:r w:rsidRPr="00A0784F">
          <w:rPr>
            <w:rFonts w:ascii="Arial" w:eastAsia="Times New Roman" w:hAnsi="Arial" w:cs="Arial"/>
            <w:color w:val="1D70B8"/>
            <w:kern w:val="0"/>
            <w:sz w:val="27"/>
            <w:szCs w:val="27"/>
            <w:u w:val="single"/>
            <w:lang w:eastAsia="en-GB"/>
            <w14:ligatures w14:val="none"/>
          </w:rPr>
          <w:t>National Air Control Transport Services</w:t>
        </w:r>
      </w:hyperlink>
      <w:r w:rsidRPr="00A0784F">
        <w:rPr>
          <w:rFonts w:ascii="Arial" w:eastAsia="Times New Roman" w:hAnsi="Arial" w:cs="Arial"/>
          <w:color w:val="0B0C0C"/>
          <w:kern w:val="0"/>
          <w:sz w:val="27"/>
          <w:szCs w:val="27"/>
          <w:lang w:eastAsia="en-GB"/>
          <w14:ligatures w14:val="none"/>
        </w:rPr>
        <w:t> websites.</w:t>
      </w:r>
    </w:p>
    <w:p w14:paraId="0384CBD3"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Defence</w:t>
      </w:r>
    </w:p>
    <w:p w14:paraId="188C18C6"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Wind turbines can adversely affect a number of Ministry Of Defence operations including radars, seismological recording equipment, communications facilities, naval operations and low flying. Developers and local planning authorities should consult with the </w:t>
      </w:r>
      <w:hyperlink r:id="rId62" w:history="1">
        <w:r w:rsidRPr="00A0784F">
          <w:rPr>
            <w:rFonts w:ascii="Arial" w:eastAsia="Times New Roman" w:hAnsi="Arial" w:cs="Arial"/>
            <w:color w:val="1D70B8"/>
            <w:kern w:val="0"/>
            <w:sz w:val="27"/>
            <w:szCs w:val="27"/>
            <w:u w:val="single"/>
            <w:lang w:eastAsia="en-GB"/>
            <w14:ligatures w14:val="none"/>
          </w:rPr>
          <w:t>Ministry of Defence</w:t>
        </w:r>
      </w:hyperlink>
      <w:r w:rsidRPr="00A0784F">
        <w:rPr>
          <w:rFonts w:ascii="Arial" w:eastAsia="Times New Roman" w:hAnsi="Arial" w:cs="Arial"/>
          <w:color w:val="0B0C0C"/>
          <w:kern w:val="0"/>
          <w:sz w:val="27"/>
          <w:szCs w:val="27"/>
          <w:lang w:eastAsia="en-GB"/>
          <w14:ligatures w14:val="none"/>
        </w:rPr>
        <w:t> if a proposed turbine is 11 metres (m) to blade tip or taller, and/or has a rotor diameter of 2m or more.</w:t>
      </w:r>
    </w:p>
    <w:p w14:paraId="519F2378"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Radar</w:t>
      </w:r>
    </w:p>
    <w:p w14:paraId="61208DA1"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 addition to air traffic radar, wind turbines may affect other radar installations such as weather radar operated by the Meteorological Office.</w:t>
      </w:r>
    </w:p>
    <w:p w14:paraId="38E64DED"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Strategic Road Network</w:t>
      </w:r>
    </w:p>
    <w:p w14:paraId="76486146"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Highways Agency/Department for Transport have produced advice for siting wind turbines safely in relation to the strategic road network titled the </w:t>
      </w:r>
      <w:hyperlink r:id="rId63" w:history="1">
        <w:r w:rsidRPr="00A0784F">
          <w:rPr>
            <w:rFonts w:ascii="Arial" w:eastAsia="Times New Roman" w:hAnsi="Arial" w:cs="Arial"/>
            <w:color w:val="1D70B8"/>
            <w:kern w:val="0"/>
            <w:sz w:val="27"/>
            <w:szCs w:val="27"/>
            <w:u w:val="single"/>
            <w:lang w:eastAsia="en-GB"/>
            <w14:ligatures w14:val="none"/>
          </w:rPr>
          <w:t>Strategic road network and the delivery of sustainable development (2013)</w:t>
        </w:r>
      </w:hyperlink>
      <w:r w:rsidRPr="00A0784F">
        <w:rPr>
          <w:rFonts w:ascii="Arial" w:eastAsia="Times New Roman" w:hAnsi="Arial" w:cs="Arial"/>
          <w:color w:val="0B0C0C"/>
          <w:kern w:val="0"/>
          <w:sz w:val="27"/>
          <w:szCs w:val="27"/>
          <w:lang w:eastAsia="en-GB"/>
          <w14:ligatures w14:val="none"/>
        </w:rPr>
        <w:t>.</w:t>
      </w:r>
    </w:p>
    <w:p w14:paraId="51C8B503"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016 Reference ID: 5-016-20140306</w:t>
      </w:r>
    </w:p>
    <w:p w14:paraId="1BD5143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5875AA45"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Is interference with electromagnetic transmissions an issue for wind turbine applications?</w:t>
      </w:r>
    </w:p>
    <w:p w14:paraId="3511F18F"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Wind turbines can potentially affect electromagnetic transmissions (eg radio, television and phone signals). Specialist organisations responsible for the operation of electromagnetic links typically require 100m clearance either side of a line of sight link from the swept area of turbine blades. Ofcom acts as a central point of contact for identifying specific consultees relevant to a site.</w:t>
      </w:r>
    </w:p>
    <w:p w14:paraId="0C6CC24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017 Reference ID: 5-017-20140306</w:t>
      </w:r>
    </w:p>
    <w:p w14:paraId="43661B0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3F26967B"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How can the risk of wind turbines be assessed for ecology?</w:t>
      </w:r>
    </w:p>
    <w:p w14:paraId="4667D176"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Evidence suggests that there is a risk of collision between moving turbine blades and birds and/or bats. Other risks including disturbance and displacement of birds and bats and the drop in air pressure close to the blades which can cause barotrauma (lung expansion) in bats, which can be fatal. Whilst these are generally a relatively low risk, in some situations, such as in close proximity to important habitats used by birds or bats, the risk is greater and the impacts on birds and bats should therefore be assessed. Advice on assessing risks is available from </w:t>
      </w:r>
      <w:hyperlink r:id="rId64" w:history="1">
        <w:r w:rsidRPr="00A0784F">
          <w:rPr>
            <w:rFonts w:ascii="Arial" w:eastAsia="Times New Roman" w:hAnsi="Arial" w:cs="Arial"/>
            <w:color w:val="1D70B8"/>
            <w:kern w:val="0"/>
            <w:sz w:val="27"/>
            <w:szCs w:val="27"/>
            <w:u w:val="single"/>
            <w:lang w:eastAsia="en-GB"/>
            <w14:ligatures w14:val="none"/>
          </w:rPr>
          <w:t>Natural England’s website</w:t>
        </w:r>
      </w:hyperlink>
      <w:r w:rsidRPr="00A0784F">
        <w:rPr>
          <w:rFonts w:ascii="Arial" w:eastAsia="Times New Roman" w:hAnsi="Arial" w:cs="Arial"/>
          <w:color w:val="0B0C0C"/>
          <w:kern w:val="0"/>
          <w:sz w:val="27"/>
          <w:szCs w:val="27"/>
          <w:lang w:eastAsia="en-GB"/>
          <w14:ligatures w14:val="none"/>
        </w:rPr>
        <w:t>.</w:t>
      </w:r>
    </w:p>
    <w:p w14:paraId="17DB817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018 Reference ID: 5-018-20140306</w:t>
      </w:r>
    </w:p>
    <w:p w14:paraId="5B02BE1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134489D3"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How should heritage be taken into account in assessing wind turbine applications?</w:t>
      </w:r>
    </w:p>
    <w:p w14:paraId="47681FF8"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As the significance of a heritage asset derives not only from its physical presence, but also from its setting, careful consideration should be given to the impact of wind turbines on such assets. Depending on their scale, design and prominence a wind turbine within the setting of a heritage asset may cause substantial harm to the significance of the asset.</w:t>
      </w:r>
    </w:p>
    <w:p w14:paraId="009F4F67"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019 Reference ID: 5-019-20140306</w:t>
      </w:r>
    </w:p>
    <w:p w14:paraId="7AB5E1E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2EA76F2C"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Is shadow flicker and reflected light an issue for wind turbine applications?</w:t>
      </w:r>
    </w:p>
    <w:p w14:paraId="6860C8B8"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Under certain combinations of geographical position and time of day, the sun may pass behind the rotors of a wind turbine and cast a shadow over neighbouring properties. When the blades rotate, the shadow flicks on and off; the impact is known as ‘shadow flicker’. Only properties within 130 degrees either side of north, relative to the turbines can be affected at these latitudes in the UK – turbines do not cast long shadows on their southern side.</w:t>
      </w:r>
    </w:p>
    <w:p w14:paraId="64011D9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Modern wind turbines can be controlled so as to avoid shadow flicker when it has the potential to occur. Individual turbines can be controlled to avoid shadow flicker at a specific property or group of properties on sunny days, for specific times of the day and on specific days of the year. Where the possibility of shadow flicker exists, mitigation can be secured through the use of conditions.</w:t>
      </w:r>
    </w:p>
    <w:p w14:paraId="19D95FD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Although problems caused by shadow flicker are rare, where proposals for wind turbines could give rise to shadow flicker, applicants should provide an analysis which quantifies the impact. Turbines can also cause flashes of reflected light, which can be visible for some distance. It is possible to ameliorate the flashing but it is not possible to eliminate it.</w:t>
      </w:r>
    </w:p>
    <w:p w14:paraId="433F364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020 Reference ID: 5-020-20140306</w:t>
      </w:r>
    </w:p>
    <w:p w14:paraId="6B11A32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1EACB77B"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How to assess the likely energy output of a wind turbine?</w:t>
      </w:r>
    </w:p>
    <w:p w14:paraId="6307B908"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As with any form of energy generation this can vary and for a number of reasons. With wind turbines the mean wind speed at hub height (along with the statistical distribution of predicted wind speeds about this mean and the wind turbines used) will determine the energy captured at a site. The simplest way of expressing the energy capture at a site is by use of the ‘capacity factor’. This though will vary with location and even by turbine in an individual wind farm. This can be useful information in considering the energy contribution to be made by a proposal, particularly when a decision is finely balanced.</w:t>
      </w:r>
    </w:p>
    <w:p w14:paraId="3A524F7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021 Reference ID: 5-021-20140306</w:t>
      </w:r>
    </w:p>
    <w:p w14:paraId="02BF166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77CAE0D4"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How should cumulative landscape and visual impacts from wind turbines be assessed?</w:t>
      </w:r>
    </w:p>
    <w:p w14:paraId="3D201171"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Cumulative landscape impacts and cumulative visual impacts are best considered separately. The cumulative landscape impacts are the effects of a proposed development on the fabric, character and quality of the landscape; it is concerned with the degree to which a proposed renewable energy development will become a significant or defining characteristic of the landscape.</w:t>
      </w:r>
    </w:p>
    <w:p w14:paraId="1249E02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Cumulative visual impacts concern the degree to which proposed renewable energy development will become a feature in particular views (or sequences of views), and the impact this has upon the people experiencing those views. Cumulative visual impacts may arise where two or more of the same type of renewable energy development will be visible from the same point, or will be visible shortly after each other along the same journey. Hence, it should not be assumed that, just because no other sites will be visible from the proposed development site, the proposal will not create any cumulative impacts.</w:t>
      </w:r>
    </w:p>
    <w:p w14:paraId="3729630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022 Reference ID: 5-022-20140306</w:t>
      </w:r>
    </w:p>
    <w:p w14:paraId="49C7FC9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18324E41"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What information is needed to assess cumulative landscape and visual impacts of wind turbines?</w:t>
      </w:r>
    </w:p>
    <w:p w14:paraId="5CF0D0D4"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 identifying impacts on landscape, considerations include: direct and indirect effects, cumulative impacts and temporary and permanent impacts. When assessing the significance of impacts a number of criteria should be considered including the sensitivity of the landscape and visual resource and the magnitude or size of the predicted change. Some landscapes may be more sensitive to certain types of change than others and it should not be assumed that a landscape character area deemed sensitive to one type of change cannot accommodate another type of change.</w:t>
      </w:r>
    </w:p>
    <w:p w14:paraId="1D883E38"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In assessing the impact on visual amenity, factors to consider include: establishing the area in which a proposed development may be visible, identifying key viewpoints, the people who experience the views and the nature of the views.</w:t>
      </w:r>
    </w:p>
    <w:p w14:paraId="0EC79EB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w:t>
      </w:r>
      <w:hyperlink r:id="rId65" w:history="1">
        <w:r w:rsidRPr="00A0784F">
          <w:rPr>
            <w:rFonts w:ascii="Arial" w:eastAsia="Times New Roman" w:hAnsi="Arial" w:cs="Arial"/>
            <w:color w:val="1D70B8"/>
            <w:kern w:val="0"/>
            <w:sz w:val="27"/>
            <w:szCs w:val="27"/>
            <w:u w:val="single"/>
            <w:lang w:eastAsia="en-GB"/>
            <w14:ligatures w14:val="none"/>
          </w:rPr>
          <w:t>Historic England website</w:t>
        </w:r>
      </w:hyperlink>
      <w:r w:rsidRPr="00A0784F">
        <w:rPr>
          <w:rFonts w:ascii="Arial" w:eastAsia="Times New Roman" w:hAnsi="Arial" w:cs="Arial"/>
          <w:color w:val="0B0C0C"/>
          <w:kern w:val="0"/>
          <w:sz w:val="27"/>
          <w:szCs w:val="27"/>
          <w:lang w:eastAsia="en-GB"/>
          <w14:ligatures w14:val="none"/>
        </w:rPr>
        <w:t> provides information on undertaking historic landscape characterisation and how this relates to landscape character assessment.</w:t>
      </w:r>
    </w:p>
    <w:p w14:paraId="1B20D16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bullets below set out the type of information that can usefully inform assessments.</w:t>
      </w:r>
    </w:p>
    <w:p w14:paraId="550E7772"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Information to inform landscape and visual impact assessments:</w:t>
      </w:r>
    </w:p>
    <w:p w14:paraId="27092323"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 base plan of all existing windfarms, consented developments and applications received, showing all schemes within a defined radius of the centre of the proposal under consideration</w:t>
      </w:r>
    </w:p>
    <w:p w14:paraId="2495BD93"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for those existing or proposed windfarms within a defined radius of the proposal under consideration, a plan showing cumulative ‘zones of visual influence’. (A zone of visual influence is the area from which a development or other structure is theoretically visible). The aim of the plan should be to clearly identify the zone of visual influence of each windfarm, and those areas from where one or more windfarms are likely to be seen</w:t>
      </w:r>
    </w:p>
    <w:p w14:paraId="1F966B4C"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base plan and plan of cumulative zones of visual influence will need to reflect local circumstances, for example, the areas covered should take into account the extent to which factors such as the topography and the likely visibility of proposals in prevailing meteorological conditions may vary</w:t>
      </w:r>
    </w:p>
    <w:p w14:paraId="689F139B"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maps of cumulative zones of visual influence are used to identify appropriate locations for visual impact studies. These include locations for simultaneous visibility assessments (ie where two or more schemes are visible from a fixed viewpoint without the need for an observer to turn their head, and repetitive visibility assessments (ie where the observer is able to see two or more schemes but only if they turn around)</w:t>
      </w:r>
    </w:p>
    <w:p w14:paraId="39C008B6"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sequential effects on visibility occur when an observer moves through a landscape and sees two or more schemes. Common routes through a landscape (eg major roads; long distance paths or cycle routes) can be identified as ‘journey scenarios’ and the proposals impact on them can be assessed</w:t>
      </w:r>
    </w:p>
    <w:p w14:paraId="171AFB12"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photomontages showing all existing and consented turbines, and those for which planning applications have been submitted, in addition to the proposal under consideration. The viewpoints used could be those identified using the maps of cumulative zones of visual influence. The photomontages could be annotated to include the dimensions of the existing turbines, the distance from the viewpoint to the different schemes, the arc of view and the format and focal length of the camera used</w:t>
      </w:r>
    </w:p>
    <w:p w14:paraId="011EA9ED" w14:textId="77777777" w:rsidR="00A0784F" w:rsidRPr="00A0784F" w:rsidRDefault="00A0784F" w:rsidP="00A0784F">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at the most detailed level, description and assessment of cumulative impacts may include the following landscape issues: scale of development in relation to landscape character or designations, sense of distance, existing focal points in the landscape, skylining (where additional development along a skyline appears disproportionately dominant) and sense of remoteness or wildness</w:t>
      </w:r>
    </w:p>
    <w:p w14:paraId="1069880C"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023 Reference ID: 5-023-20140306</w:t>
      </w:r>
    </w:p>
    <w:p w14:paraId="3B94E883"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5AA8B8C0"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Decommissioning wind turbines</w:t>
      </w:r>
    </w:p>
    <w:p w14:paraId="15C4871A"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planning authorities should consider using planning conditions to ensure that redundant turbines are removed when no longer in use and land is restored to an appropriate use.</w:t>
      </w:r>
    </w:p>
    <w:p w14:paraId="2F7FB2C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024 Reference ID: 5-024-20140306</w:t>
      </w:r>
    </w:p>
    <w:p w14:paraId="50F98CC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06 03 2014</w:t>
      </w:r>
    </w:p>
    <w:p w14:paraId="109B6386" w14:textId="77777777" w:rsidR="00A0784F" w:rsidRPr="00A0784F" w:rsidRDefault="00A0784F" w:rsidP="00A0784F">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A0784F">
        <w:rPr>
          <w:rFonts w:ascii="Arial" w:eastAsia="Times New Roman" w:hAnsi="Arial" w:cs="Arial"/>
          <w:b/>
          <w:bCs/>
          <w:color w:val="0B0C0C"/>
          <w:kern w:val="0"/>
          <w:sz w:val="24"/>
          <w:szCs w:val="24"/>
          <w:lang w:eastAsia="en-GB"/>
          <w14:ligatures w14:val="none"/>
        </w:rPr>
        <w:t>When is pre-application consultation with the local community compulsory for wind turbine proposals?</w:t>
      </w:r>
    </w:p>
    <w:p w14:paraId="3445D75C"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is a legal requirement to carry out pre-application consultation with the local community for planning applications for wind turbine development involving more than 2 turbines or where the hub height of any turbine exceeds 15 metres as identified in </w:t>
      </w:r>
      <w:hyperlink r:id="rId66" w:history="1">
        <w:r w:rsidRPr="00A0784F">
          <w:rPr>
            <w:rFonts w:ascii="Arial" w:eastAsia="Times New Roman" w:hAnsi="Arial" w:cs="Arial"/>
            <w:color w:val="1D70B8"/>
            <w:kern w:val="0"/>
            <w:sz w:val="27"/>
            <w:szCs w:val="27"/>
            <w:u w:val="single"/>
            <w:lang w:eastAsia="en-GB"/>
            <w14:ligatures w14:val="none"/>
          </w:rPr>
          <w:t>article 3 of the Town and Country Planning (Development Management Procedure) (England) (Order) 2015</w:t>
        </w:r>
      </w:hyperlink>
      <w:r w:rsidRPr="00A0784F">
        <w:rPr>
          <w:rFonts w:ascii="Arial" w:eastAsia="Times New Roman" w:hAnsi="Arial" w:cs="Arial"/>
          <w:color w:val="0B0C0C"/>
          <w:kern w:val="0"/>
          <w:sz w:val="27"/>
          <w:szCs w:val="27"/>
          <w:lang w:eastAsia="en-GB"/>
          <w14:ligatures w14:val="none"/>
        </w:rPr>
        <w:t>.</w:t>
      </w:r>
    </w:p>
    <w:p w14:paraId="7663A96E"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following questions should be considered when undertaking compulsory pre-application consultation with the local community for wind turbine proposals:</w:t>
      </w:r>
    </w:p>
    <w:p w14:paraId="6867C5F6" w14:textId="77777777" w:rsidR="00A0784F" w:rsidRPr="00A0784F" w:rsidRDefault="00A0784F" w:rsidP="00A0784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67" w:anchor="compulsory-pre-application-consultation" w:history="1">
        <w:r w:rsidRPr="00A0784F">
          <w:rPr>
            <w:rFonts w:ascii="Arial" w:eastAsia="Times New Roman" w:hAnsi="Arial" w:cs="Arial"/>
            <w:color w:val="1D70B8"/>
            <w:kern w:val="0"/>
            <w:sz w:val="27"/>
            <w:szCs w:val="27"/>
            <w:u w:val="single"/>
            <w:lang w:eastAsia="en-GB"/>
            <w14:ligatures w14:val="none"/>
          </w:rPr>
          <w:t>Who is responsible for conducting compulsory pre-application consultation with the local community for wind turbine proposals?</w:t>
        </w:r>
      </w:hyperlink>
    </w:p>
    <w:p w14:paraId="702268DF" w14:textId="77777777" w:rsidR="00A0784F" w:rsidRPr="00A0784F" w:rsidRDefault="00A0784F" w:rsidP="00A0784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68" w:anchor="a-prospective-applicant" w:history="1">
        <w:r w:rsidRPr="00A0784F">
          <w:rPr>
            <w:rFonts w:ascii="Arial" w:eastAsia="Times New Roman" w:hAnsi="Arial" w:cs="Arial"/>
            <w:color w:val="1D70B8"/>
            <w:kern w:val="0"/>
            <w:sz w:val="27"/>
            <w:szCs w:val="27"/>
            <w:u w:val="single"/>
            <w:lang w:eastAsia="en-GB"/>
            <w14:ligatures w14:val="none"/>
          </w:rPr>
          <w:t>What must a prospective applicant for planning permission for a wind turbine do when undertaking compulsory pre-application consultation with the local community?</w:t>
        </w:r>
      </w:hyperlink>
    </w:p>
    <w:p w14:paraId="731E3289" w14:textId="77777777" w:rsidR="00A0784F" w:rsidRPr="00A0784F" w:rsidRDefault="00A0784F" w:rsidP="00A0784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69" w:anchor="needs-to-be-consulted" w:history="1">
        <w:r w:rsidRPr="00A0784F">
          <w:rPr>
            <w:rFonts w:ascii="Arial" w:eastAsia="Times New Roman" w:hAnsi="Arial" w:cs="Arial"/>
            <w:color w:val="1D70B8"/>
            <w:kern w:val="0"/>
            <w:sz w:val="27"/>
            <w:szCs w:val="27"/>
            <w:u w:val="single"/>
            <w:lang w:eastAsia="en-GB"/>
            <w14:ligatures w14:val="none"/>
          </w:rPr>
          <w:t>How can a prospective applicant for planning permission for a wind turbine establish who needs to be consulted?</w:t>
        </w:r>
      </w:hyperlink>
    </w:p>
    <w:p w14:paraId="6885B7F7" w14:textId="77777777" w:rsidR="00A0784F" w:rsidRPr="00A0784F" w:rsidRDefault="00A0784F" w:rsidP="00A0784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70" w:anchor="determined-by-the-Secretary-of-State" w:history="1">
        <w:r w:rsidRPr="00A0784F">
          <w:rPr>
            <w:rFonts w:ascii="Arial" w:eastAsia="Times New Roman" w:hAnsi="Arial" w:cs="Arial"/>
            <w:color w:val="1D70B8"/>
            <w:kern w:val="0"/>
            <w:sz w:val="27"/>
            <w:szCs w:val="27"/>
            <w:u w:val="single"/>
            <w:lang w:eastAsia="en-GB"/>
            <w14:ligatures w14:val="none"/>
          </w:rPr>
          <w:t>Will compulsory pre-application consultation with the local community apply to planning applications for wind turbine(s) determined by the Secretary of State?</w:t>
        </w:r>
      </w:hyperlink>
    </w:p>
    <w:p w14:paraId="6CEF64DB" w14:textId="77777777" w:rsidR="00A0784F" w:rsidRPr="00A0784F" w:rsidRDefault="00A0784F" w:rsidP="00A0784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71" w:anchor="local-planning-authority-in-compulsory" w:history="1">
        <w:r w:rsidRPr="00A0784F">
          <w:rPr>
            <w:rFonts w:ascii="Arial" w:eastAsia="Times New Roman" w:hAnsi="Arial" w:cs="Arial"/>
            <w:color w:val="1D70B8"/>
            <w:kern w:val="0"/>
            <w:sz w:val="27"/>
            <w:szCs w:val="27"/>
            <w:u w:val="single"/>
            <w:lang w:eastAsia="en-GB"/>
            <w14:ligatures w14:val="none"/>
          </w:rPr>
          <w:t>What role can the local planning authority play in compulsory pre-application consultation with the local community for wind turbine proposals?</w:t>
        </w:r>
      </w:hyperlink>
    </w:p>
    <w:p w14:paraId="36FD1581" w14:textId="77777777" w:rsidR="00A0784F" w:rsidRPr="00A0784F" w:rsidRDefault="00A0784F" w:rsidP="00A0784F">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72" w:anchor="not-comply-with-compulsory-consultation" w:history="1">
        <w:r w:rsidRPr="00A0784F">
          <w:rPr>
            <w:rFonts w:ascii="Arial" w:eastAsia="Times New Roman" w:hAnsi="Arial" w:cs="Arial"/>
            <w:color w:val="1D70B8"/>
            <w:kern w:val="0"/>
            <w:sz w:val="27"/>
            <w:szCs w:val="27"/>
            <w:u w:val="single"/>
            <w:lang w:eastAsia="en-GB"/>
            <w14:ligatures w14:val="none"/>
          </w:rPr>
          <w:t>What happens if a prospective applicant for a wind turbine does not comply with the requirement to undertake compulsory pre-application consultation with the local community?</w:t>
        </w:r>
      </w:hyperlink>
    </w:p>
    <w:p w14:paraId="262EB7B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025 Reference ID: 5-025-20150415</w:t>
      </w:r>
    </w:p>
    <w:p w14:paraId="694B277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15 04 2015 See </w:t>
      </w:r>
      <w:hyperlink r:id="rId73" w:history="1">
        <w:r w:rsidRPr="00A0784F">
          <w:rPr>
            <w:rFonts w:ascii="Arial" w:eastAsia="Times New Roman" w:hAnsi="Arial" w:cs="Arial"/>
            <w:color w:val="1D70B8"/>
            <w:kern w:val="0"/>
            <w:sz w:val="27"/>
            <w:szCs w:val="27"/>
            <w:u w:val="single"/>
            <w:lang w:eastAsia="en-GB"/>
            <w14:ligatures w14:val="none"/>
          </w:rPr>
          <w:t>previous version</w:t>
        </w:r>
      </w:hyperlink>
    </w:p>
    <w:p w14:paraId="03352832"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Who is responsible for conducting compulsory pre-application consultation with the local community for wind turbine proposals</w:t>
      </w:r>
    </w:p>
    <w:p w14:paraId="2953A93B"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requirement to undertake compulsory pre-application consultation with the local community is the responsibility of the prospective applicant for planning permission.</w:t>
      </w:r>
    </w:p>
    <w:p w14:paraId="0990169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026 Reference ID: 5-026-20140410</w:t>
      </w:r>
    </w:p>
    <w:p w14:paraId="77BEE39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10 04 2014</w:t>
      </w:r>
    </w:p>
    <w:p w14:paraId="712DD7B1"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What must a prospective applicant for planning permission for a wind turbine(s) do when undertaking compulsory pre-application consultation with the local community?</w:t>
      </w:r>
    </w:p>
    <w:p w14:paraId="06B89837"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requirements that must be fulfilled are set out in </w:t>
      </w:r>
      <w:hyperlink r:id="rId74" w:history="1">
        <w:r w:rsidRPr="00A0784F">
          <w:rPr>
            <w:rFonts w:ascii="Arial" w:eastAsia="Times New Roman" w:hAnsi="Arial" w:cs="Arial"/>
            <w:color w:val="1D70B8"/>
            <w:kern w:val="0"/>
            <w:sz w:val="27"/>
            <w:szCs w:val="27"/>
            <w:u w:val="single"/>
            <w:lang w:eastAsia="en-GB"/>
            <w14:ligatures w14:val="none"/>
          </w:rPr>
          <w:t>sections 61W and 61X of the Town and Country Planning Act 1990</w:t>
        </w:r>
      </w:hyperlink>
      <w:r w:rsidRPr="00A0784F">
        <w:rPr>
          <w:rFonts w:ascii="Arial" w:eastAsia="Times New Roman" w:hAnsi="Arial" w:cs="Arial"/>
          <w:color w:val="0B0C0C"/>
          <w:kern w:val="0"/>
          <w:sz w:val="27"/>
          <w:szCs w:val="27"/>
          <w:lang w:eastAsia="en-GB"/>
          <w14:ligatures w14:val="none"/>
        </w:rPr>
        <w:t> and </w:t>
      </w:r>
      <w:hyperlink r:id="rId75" w:history="1">
        <w:r w:rsidRPr="00A0784F">
          <w:rPr>
            <w:rFonts w:ascii="Arial" w:eastAsia="Times New Roman" w:hAnsi="Arial" w:cs="Arial"/>
            <w:color w:val="1D70B8"/>
            <w:kern w:val="0"/>
            <w:sz w:val="27"/>
            <w:szCs w:val="27"/>
            <w:u w:val="single"/>
            <w:lang w:eastAsia="en-GB"/>
            <w14:ligatures w14:val="none"/>
          </w:rPr>
          <w:t>article 4 of the Town and Country Planning (Development Management Procedure) (England) (Order) 2015</w:t>
        </w:r>
      </w:hyperlink>
      <w:r w:rsidRPr="00A0784F">
        <w:rPr>
          <w:rFonts w:ascii="Arial" w:eastAsia="Times New Roman" w:hAnsi="Arial" w:cs="Arial"/>
          <w:color w:val="0B0C0C"/>
          <w:kern w:val="0"/>
          <w:sz w:val="27"/>
          <w:szCs w:val="27"/>
          <w:lang w:eastAsia="en-GB"/>
          <w14:ligatures w14:val="none"/>
        </w:rPr>
        <w:t>. In summary, a prospective applicant for planning permission must:</w:t>
      </w:r>
    </w:p>
    <w:p w14:paraId="72B433A5" w14:textId="77777777" w:rsidR="00A0784F" w:rsidRPr="00A0784F" w:rsidRDefault="00A0784F" w:rsidP="00A0784F">
      <w:pPr>
        <w:numPr>
          <w:ilvl w:val="0"/>
          <w:numId w:val="1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publicise the proposal in such a way as the applicant reasonably considers is likely to bring it to the attention of a majority of the people who live at, or otherwise occupy, premises in the vicinity of the land;</w:t>
      </w:r>
    </w:p>
    <w:p w14:paraId="062E2D97" w14:textId="77777777" w:rsidR="00A0784F" w:rsidRPr="00A0784F" w:rsidRDefault="00A0784F" w:rsidP="00A0784F">
      <w:pPr>
        <w:numPr>
          <w:ilvl w:val="0"/>
          <w:numId w:val="1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set out how persons may contact them regarding the proposal. The applicant must give sufficient information about the proposed timetable to ensure that people wishing to comment on the proposed development may do so in good time;</w:t>
      </w:r>
    </w:p>
    <w:p w14:paraId="3497BC05" w14:textId="77777777" w:rsidR="00A0784F" w:rsidRPr="00A0784F" w:rsidRDefault="00A0784F" w:rsidP="00A0784F">
      <w:pPr>
        <w:numPr>
          <w:ilvl w:val="0"/>
          <w:numId w:val="1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if they decide to go ahead with making an application for planning permission, have regard to any responses received when finalising the application to be submitted;</w:t>
      </w:r>
    </w:p>
    <w:p w14:paraId="3C14CE34" w14:textId="77777777" w:rsidR="00A0784F" w:rsidRPr="00A0784F" w:rsidRDefault="00A0784F" w:rsidP="00A0784F">
      <w:pPr>
        <w:numPr>
          <w:ilvl w:val="0"/>
          <w:numId w:val="1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when submitting their application explain how the local community has been consulted, what comments have been received, and how account has been taken of those comments.</w:t>
      </w:r>
    </w:p>
    <w:p w14:paraId="0537783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These are minimum requirements, but it is in the prospective applicant’s interest to conduct pre-application consultation to an appropriate standard to ensure that they fully understand the views of those within the vicinity of the land to which the application relates.</w:t>
      </w:r>
    </w:p>
    <w:p w14:paraId="3C0A6E0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027 Reference ID: 5-027-20150415</w:t>
      </w:r>
    </w:p>
    <w:p w14:paraId="772AE86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15 04 2015 See </w:t>
      </w:r>
      <w:hyperlink r:id="rId76" w:history="1">
        <w:r w:rsidRPr="00A0784F">
          <w:rPr>
            <w:rFonts w:ascii="Arial" w:eastAsia="Times New Roman" w:hAnsi="Arial" w:cs="Arial"/>
            <w:color w:val="1D70B8"/>
            <w:kern w:val="0"/>
            <w:sz w:val="27"/>
            <w:szCs w:val="27"/>
            <w:u w:val="single"/>
            <w:lang w:eastAsia="en-GB"/>
            <w14:ligatures w14:val="none"/>
          </w:rPr>
          <w:t>previous version</w:t>
        </w:r>
      </w:hyperlink>
    </w:p>
    <w:p w14:paraId="4423125C"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How can a prospective applicant for planning permission for a wind turbine(s) establish who needs to be consulted?</w:t>
      </w:r>
    </w:p>
    <w:p w14:paraId="108423F9"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Where it is required, compulsory pre-application consultation must meet the legislative requirements set out in </w:t>
      </w:r>
      <w:hyperlink r:id="rId77" w:history="1">
        <w:r w:rsidRPr="00A0784F">
          <w:rPr>
            <w:rFonts w:ascii="Arial" w:eastAsia="Times New Roman" w:hAnsi="Arial" w:cs="Arial"/>
            <w:color w:val="1D70B8"/>
            <w:kern w:val="0"/>
            <w:sz w:val="27"/>
            <w:szCs w:val="27"/>
            <w:u w:val="single"/>
            <w:lang w:eastAsia="en-GB"/>
            <w14:ligatures w14:val="none"/>
          </w:rPr>
          <w:t>section 61W of the Town and Country Planning Act 1990</w:t>
        </w:r>
      </w:hyperlink>
      <w:r w:rsidRPr="00A0784F">
        <w:rPr>
          <w:rFonts w:ascii="Arial" w:eastAsia="Times New Roman" w:hAnsi="Arial" w:cs="Arial"/>
          <w:color w:val="0B0C0C"/>
          <w:kern w:val="0"/>
          <w:sz w:val="27"/>
          <w:szCs w:val="27"/>
          <w:lang w:eastAsia="en-GB"/>
          <w14:ligatures w14:val="none"/>
        </w:rPr>
        <w:t>. These require that applicants must publicise the proposal in such a way as the applicant reasonably considers is likely to bring it to the attention of a majority of persons who live at or otherwise occupy premises in the vicinity of the land.</w:t>
      </w:r>
    </w:p>
    <w:p w14:paraId="3864C50D"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There is no one size fits all approach to pre-application consultation and, providing it meets the legislative requirements, decisions on the nature and extent of consultation will need to be made on a case by case basis and in light of the relevant circumstances. Pre-application consultation should be proportionate to the scale and nature of a proposed development, the local context and the people that might be materially affected by the planning impacts of the development.</w:t>
      </w:r>
    </w:p>
    <w:p w14:paraId="0CE8430A"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When deciding how and who to consult, prospective applicants will need to consider what is necessary in the specific circumstances of their proposal but a useful starting point is to consider the extent of engagement with the local community a local planning authority would normally undertake if a formal planning application were to be submitted. Prospective applicants are encouraged to </w:t>
      </w:r>
      <w:hyperlink r:id="rId78" w:anchor="local-planning-authority-in-compulsory" w:history="1">
        <w:r w:rsidRPr="00A0784F">
          <w:rPr>
            <w:rFonts w:ascii="Arial" w:eastAsia="Times New Roman" w:hAnsi="Arial" w:cs="Arial"/>
            <w:color w:val="1D70B8"/>
            <w:kern w:val="0"/>
            <w:sz w:val="27"/>
            <w:szCs w:val="27"/>
            <w:u w:val="single"/>
            <w:lang w:eastAsia="en-GB"/>
            <w14:ligatures w14:val="none"/>
          </w:rPr>
          <w:t>discuss these matters with the local planning authority</w:t>
        </w:r>
      </w:hyperlink>
      <w:r w:rsidRPr="00A0784F">
        <w:rPr>
          <w:rFonts w:ascii="Arial" w:eastAsia="Times New Roman" w:hAnsi="Arial" w:cs="Arial"/>
          <w:color w:val="0B0C0C"/>
          <w:kern w:val="0"/>
          <w:sz w:val="27"/>
          <w:szCs w:val="27"/>
          <w:lang w:eastAsia="en-GB"/>
          <w14:ligatures w14:val="none"/>
        </w:rPr>
        <w:t>.</w:t>
      </w:r>
    </w:p>
    <w:p w14:paraId="45609CC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028 Reference ID: 5-028-20140410</w:t>
      </w:r>
    </w:p>
    <w:p w14:paraId="266AE5A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10 04 2014</w:t>
      </w:r>
    </w:p>
    <w:p w14:paraId="6DF8A7A1"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Will compulsory pre-application consultation with the local community apply to planning applications for wind turbine(s) determined by the Secretary of State?</w:t>
      </w:r>
    </w:p>
    <w:p w14:paraId="7743D0A2"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Compulsory pre-application consultation with the local community applies to applications under </w:t>
      </w:r>
      <w:hyperlink r:id="rId79" w:history="1">
        <w:r w:rsidRPr="00A0784F">
          <w:rPr>
            <w:rFonts w:ascii="Arial" w:eastAsia="Times New Roman" w:hAnsi="Arial" w:cs="Arial"/>
            <w:color w:val="1D70B8"/>
            <w:kern w:val="0"/>
            <w:sz w:val="27"/>
            <w:szCs w:val="27"/>
            <w:u w:val="single"/>
            <w:lang w:eastAsia="en-GB"/>
            <w14:ligatures w14:val="none"/>
          </w:rPr>
          <w:t>Part 3 of the Town and Country Planning Act</w:t>
        </w:r>
      </w:hyperlink>
      <w:r w:rsidRPr="00A0784F">
        <w:rPr>
          <w:rFonts w:ascii="Arial" w:eastAsia="Times New Roman" w:hAnsi="Arial" w:cs="Arial"/>
          <w:color w:val="0B0C0C"/>
          <w:kern w:val="0"/>
          <w:sz w:val="27"/>
          <w:szCs w:val="27"/>
          <w:lang w:eastAsia="en-GB"/>
          <w14:ligatures w14:val="none"/>
        </w:rPr>
        <w:t> which meet the </w:t>
      </w:r>
      <w:hyperlink r:id="rId80" w:anchor="consultation-criteria" w:history="1">
        <w:r w:rsidRPr="00A0784F">
          <w:rPr>
            <w:rFonts w:ascii="Arial" w:eastAsia="Times New Roman" w:hAnsi="Arial" w:cs="Arial"/>
            <w:color w:val="1D70B8"/>
            <w:kern w:val="0"/>
            <w:sz w:val="27"/>
            <w:szCs w:val="27"/>
            <w:u w:val="single"/>
            <w:lang w:eastAsia="en-GB"/>
            <w14:ligatures w14:val="none"/>
          </w:rPr>
          <w:t>criteria</w:t>
        </w:r>
      </w:hyperlink>
      <w:r w:rsidRPr="00A0784F">
        <w:rPr>
          <w:rFonts w:ascii="Arial" w:eastAsia="Times New Roman" w:hAnsi="Arial" w:cs="Arial"/>
          <w:color w:val="0B0C0C"/>
          <w:kern w:val="0"/>
          <w:sz w:val="27"/>
          <w:szCs w:val="27"/>
          <w:lang w:eastAsia="en-GB"/>
          <w14:ligatures w14:val="none"/>
        </w:rPr>
        <w:t>. Specific provision is made so that the duty applies to applications meeting the </w:t>
      </w:r>
      <w:hyperlink r:id="rId81" w:anchor="consultation-criteria" w:history="1">
        <w:r w:rsidRPr="00A0784F">
          <w:rPr>
            <w:rFonts w:ascii="Arial" w:eastAsia="Times New Roman" w:hAnsi="Arial" w:cs="Arial"/>
            <w:color w:val="1D70B8"/>
            <w:kern w:val="0"/>
            <w:sz w:val="27"/>
            <w:szCs w:val="27"/>
            <w:u w:val="single"/>
            <w:lang w:eastAsia="en-GB"/>
            <w14:ligatures w14:val="none"/>
          </w:rPr>
          <w:t>criteria</w:t>
        </w:r>
      </w:hyperlink>
      <w:r w:rsidRPr="00A0784F">
        <w:rPr>
          <w:rFonts w:ascii="Arial" w:eastAsia="Times New Roman" w:hAnsi="Arial" w:cs="Arial"/>
          <w:color w:val="0B0C0C"/>
          <w:kern w:val="0"/>
          <w:sz w:val="27"/>
          <w:szCs w:val="27"/>
          <w:lang w:eastAsia="en-GB"/>
          <w14:ligatures w14:val="none"/>
        </w:rPr>
        <w:t> made directly to the Secretary of State where a local planning authority has been designated as poorly performing under </w:t>
      </w:r>
      <w:hyperlink r:id="rId82" w:history="1">
        <w:r w:rsidRPr="00A0784F">
          <w:rPr>
            <w:rFonts w:ascii="Arial" w:eastAsia="Times New Roman" w:hAnsi="Arial" w:cs="Arial"/>
            <w:color w:val="1D70B8"/>
            <w:kern w:val="0"/>
            <w:sz w:val="27"/>
            <w:szCs w:val="27"/>
            <w:u w:val="single"/>
            <w:lang w:eastAsia="en-GB"/>
            <w14:ligatures w14:val="none"/>
          </w:rPr>
          <w:t>section 62A of the 1990 Act</w:t>
        </w:r>
      </w:hyperlink>
      <w:r w:rsidRPr="00A0784F">
        <w:rPr>
          <w:rFonts w:ascii="Arial" w:eastAsia="Times New Roman" w:hAnsi="Arial" w:cs="Arial"/>
          <w:color w:val="0B0C0C"/>
          <w:kern w:val="0"/>
          <w:sz w:val="27"/>
          <w:szCs w:val="27"/>
          <w:lang w:eastAsia="en-GB"/>
          <w14:ligatures w14:val="none"/>
        </w:rPr>
        <w:t>.</w:t>
      </w:r>
    </w:p>
    <w:p w14:paraId="7FA7CE8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029 Reference ID: 5-029-20140410</w:t>
      </w:r>
    </w:p>
    <w:p w14:paraId="63AA5493"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10 04 2014</w:t>
      </w:r>
    </w:p>
    <w:p w14:paraId="187B7547"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What role can the local planning authority play in compulsory pre-application consultation with the local community for wind turbine proposals?</w:t>
      </w:r>
    </w:p>
    <w:p w14:paraId="534EF185"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planning authorities are encouraged to work constructively with prospective applicants undertaking compulsory pre-application consultation with the local community. Under </w:t>
      </w:r>
      <w:hyperlink r:id="rId83" w:history="1">
        <w:r w:rsidRPr="00A0784F">
          <w:rPr>
            <w:rFonts w:ascii="Arial" w:eastAsia="Times New Roman" w:hAnsi="Arial" w:cs="Arial"/>
            <w:color w:val="1D70B8"/>
            <w:kern w:val="0"/>
            <w:sz w:val="27"/>
            <w:szCs w:val="27"/>
            <w:u w:val="single"/>
            <w:lang w:eastAsia="en-GB"/>
            <w14:ligatures w14:val="none"/>
          </w:rPr>
          <w:t>section 61W(7) of the Town and Country Planning Act 1990</w:t>
        </w:r>
      </w:hyperlink>
      <w:r w:rsidRPr="00A0784F">
        <w:rPr>
          <w:rFonts w:ascii="Arial" w:eastAsia="Times New Roman" w:hAnsi="Arial" w:cs="Arial"/>
          <w:color w:val="0B0C0C"/>
          <w:kern w:val="0"/>
          <w:sz w:val="27"/>
          <w:szCs w:val="27"/>
          <w:lang w:eastAsia="en-GB"/>
          <w14:ligatures w14:val="none"/>
        </w:rPr>
        <w:t>, an applicant must have regard to the advice (if any) given by the local planning authority about local good practice. See more general information on the </w:t>
      </w:r>
      <w:hyperlink r:id="rId84" w:anchor="the-local-planning-authority" w:history="1">
        <w:r w:rsidRPr="00A0784F">
          <w:rPr>
            <w:rFonts w:ascii="Arial" w:eastAsia="Times New Roman" w:hAnsi="Arial" w:cs="Arial"/>
            <w:color w:val="1D70B8"/>
            <w:kern w:val="0"/>
            <w:sz w:val="27"/>
            <w:szCs w:val="27"/>
            <w:u w:val="single"/>
            <w:lang w:eastAsia="en-GB"/>
            <w14:ligatures w14:val="none"/>
          </w:rPr>
          <w:t>role of the local planning authorities at the pre-application stage</w:t>
        </w:r>
      </w:hyperlink>
      <w:r w:rsidRPr="00A0784F">
        <w:rPr>
          <w:rFonts w:ascii="Arial" w:eastAsia="Times New Roman" w:hAnsi="Arial" w:cs="Arial"/>
          <w:color w:val="0B0C0C"/>
          <w:kern w:val="0"/>
          <w:sz w:val="27"/>
          <w:szCs w:val="27"/>
          <w:lang w:eastAsia="en-GB"/>
          <w14:ligatures w14:val="none"/>
        </w:rPr>
        <w:t>.</w:t>
      </w:r>
    </w:p>
    <w:p w14:paraId="1694552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030 Reference ID: 5-030-20140410</w:t>
      </w:r>
    </w:p>
    <w:p w14:paraId="5393B13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10 04 2014</w:t>
      </w:r>
    </w:p>
    <w:p w14:paraId="6401F147" w14:textId="77777777" w:rsidR="00A0784F" w:rsidRPr="00A0784F" w:rsidRDefault="00A0784F" w:rsidP="00A0784F">
      <w:pPr>
        <w:shd w:val="clear" w:color="auto" w:fill="FFFFFF"/>
        <w:spacing w:after="0" w:line="240" w:lineRule="auto"/>
        <w:outlineLvl w:val="4"/>
        <w:rPr>
          <w:rFonts w:ascii="Arial" w:eastAsia="Times New Roman" w:hAnsi="Arial" w:cs="Arial"/>
          <w:b/>
          <w:bCs/>
          <w:color w:val="0B0C0C"/>
          <w:kern w:val="0"/>
          <w:sz w:val="20"/>
          <w:szCs w:val="20"/>
          <w:lang w:eastAsia="en-GB"/>
          <w14:ligatures w14:val="none"/>
        </w:rPr>
      </w:pPr>
      <w:r w:rsidRPr="00A0784F">
        <w:rPr>
          <w:rFonts w:ascii="Arial" w:eastAsia="Times New Roman" w:hAnsi="Arial" w:cs="Arial"/>
          <w:b/>
          <w:bCs/>
          <w:color w:val="0B0C0C"/>
          <w:kern w:val="0"/>
          <w:sz w:val="20"/>
          <w:szCs w:val="20"/>
          <w:lang w:eastAsia="en-GB"/>
          <w14:ligatures w14:val="none"/>
        </w:rPr>
        <w:t>What happens if a prospective applicant for a wind turbine does not comply with the requirement to undertake compulsory pre-application consultation with the local community?</w:t>
      </w:r>
    </w:p>
    <w:p w14:paraId="39922562" w14:textId="77777777" w:rsidR="00A0784F" w:rsidRPr="00A0784F" w:rsidRDefault="00A0784F" w:rsidP="00A0784F">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If the requirements set out in </w:t>
      </w:r>
      <w:hyperlink r:id="rId85" w:history="1">
        <w:r w:rsidRPr="00A0784F">
          <w:rPr>
            <w:rFonts w:ascii="Arial" w:eastAsia="Times New Roman" w:hAnsi="Arial" w:cs="Arial"/>
            <w:color w:val="1D70B8"/>
            <w:kern w:val="0"/>
            <w:sz w:val="27"/>
            <w:szCs w:val="27"/>
            <w:u w:val="single"/>
            <w:lang w:eastAsia="en-GB"/>
            <w14:ligatures w14:val="none"/>
          </w:rPr>
          <w:t>sections 61W and 61X of the Town and Country Planning Act 1990</w:t>
        </w:r>
      </w:hyperlink>
      <w:r w:rsidRPr="00A0784F">
        <w:rPr>
          <w:rFonts w:ascii="Arial" w:eastAsia="Times New Roman" w:hAnsi="Arial" w:cs="Arial"/>
          <w:color w:val="0B0C0C"/>
          <w:kern w:val="0"/>
          <w:sz w:val="27"/>
          <w:szCs w:val="27"/>
          <w:lang w:eastAsia="en-GB"/>
          <w14:ligatures w14:val="none"/>
        </w:rPr>
        <w:t> and </w:t>
      </w:r>
      <w:hyperlink r:id="rId86" w:history="1">
        <w:r w:rsidRPr="00A0784F">
          <w:rPr>
            <w:rFonts w:ascii="Arial" w:eastAsia="Times New Roman" w:hAnsi="Arial" w:cs="Arial"/>
            <w:color w:val="1D70B8"/>
            <w:kern w:val="0"/>
            <w:sz w:val="27"/>
            <w:szCs w:val="27"/>
            <w:u w:val="single"/>
            <w:lang w:eastAsia="en-GB"/>
            <w14:ligatures w14:val="none"/>
          </w:rPr>
          <w:t>article 4 of the Town and Country Planning (Development Management Procedure) (England) Order 2010</w:t>
        </w:r>
      </w:hyperlink>
      <w:r w:rsidRPr="00A0784F">
        <w:rPr>
          <w:rFonts w:ascii="Arial" w:eastAsia="Times New Roman" w:hAnsi="Arial" w:cs="Arial"/>
          <w:color w:val="0B0C0C"/>
          <w:kern w:val="0"/>
          <w:sz w:val="27"/>
          <w:szCs w:val="27"/>
          <w:lang w:eastAsia="en-GB"/>
          <w14:ligatures w14:val="none"/>
        </w:rPr>
        <w:t> have not been met and a planning application is submitted, the local planning authority will not be able to validate it until the prospective applicant complies.</w:t>
      </w:r>
    </w:p>
    <w:p w14:paraId="36B0EC5B"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031 Reference ID: 5-031-20150415</w:t>
      </w:r>
    </w:p>
    <w:p w14:paraId="3C682B0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Revision date: 15 04 2015 See </w:t>
      </w:r>
      <w:hyperlink r:id="rId87" w:history="1">
        <w:r w:rsidRPr="00A0784F">
          <w:rPr>
            <w:rFonts w:ascii="Arial" w:eastAsia="Times New Roman" w:hAnsi="Arial" w:cs="Arial"/>
            <w:color w:val="1D70B8"/>
            <w:kern w:val="0"/>
            <w:sz w:val="27"/>
            <w:szCs w:val="27"/>
            <w:u w:val="single"/>
            <w:lang w:eastAsia="en-GB"/>
            <w14:ligatures w14:val="none"/>
          </w:rPr>
          <w:t>previous version</w:t>
        </w:r>
      </w:hyperlink>
    </w:p>
    <w:p w14:paraId="0347D928" w14:textId="77777777" w:rsidR="00A0784F" w:rsidRPr="00A0784F" w:rsidRDefault="00A0784F" w:rsidP="00A0784F">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A0784F">
        <w:rPr>
          <w:rFonts w:ascii="Arial" w:eastAsia="Times New Roman" w:hAnsi="Arial" w:cs="Arial"/>
          <w:b/>
          <w:bCs/>
          <w:color w:val="0B0C0C"/>
          <w:kern w:val="0"/>
          <w:sz w:val="36"/>
          <w:szCs w:val="36"/>
          <w:lang w:eastAsia="en-GB"/>
          <w14:ligatures w14:val="none"/>
        </w:rPr>
        <w:t>Battery Energy Storage Systems</w:t>
      </w:r>
    </w:p>
    <w:p w14:paraId="766281AF"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Electricity storage can enable us to use energy more flexibly and de-carbonise our energy system cost-effectively – for example, by helping to balance the system at lower cost, maximising the usable output from intermittent low carbon generation (e.g. solar and wind), and deferring or avoiding the need for costly network upgrades and new generation capacity.</w:t>
      </w:r>
    </w:p>
    <w:p w14:paraId="3C161295"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032 Reference ID: 5-032-20230814</w:t>
      </w:r>
    </w:p>
    <w:p w14:paraId="35D3C036"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is the planning application process for battery energy storage systems?</w:t>
      </w:r>
    </w:p>
    <w:p w14:paraId="1781A88B"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When applying for planning permission for development involving lithium-ion battery energy storage systems these are subject to the requirements set out in </w:t>
      </w:r>
      <w:hyperlink r:id="rId88" w:history="1">
        <w:r w:rsidRPr="00A0784F">
          <w:rPr>
            <w:rFonts w:ascii="Arial" w:eastAsia="Times New Roman" w:hAnsi="Arial" w:cs="Arial"/>
            <w:color w:val="1D70B8"/>
            <w:kern w:val="0"/>
            <w:sz w:val="27"/>
            <w:szCs w:val="27"/>
            <w:u w:val="single"/>
            <w:lang w:eastAsia="en-GB"/>
            <w14:ligatures w14:val="none"/>
          </w:rPr>
          <w:t>The Town and Country Planning (Development Management Procedure) (England) Order 2015</w:t>
        </w:r>
      </w:hyperlink>
      <w:r w:rsidRPr="00A0784F">
        <w:rPr>
          <w:rFonts w:ascii="Arial" w:eastAsia="Times New Roman" w:hAnsi="Arial" w:cs="Arial"/>
          <w:color w:val="0B0C0C"/>
          <w:kern w:val="0"/>
          <w:sz w:val="27"/>
          <w:szCs w:val="27"/>
          <w:lang w:eastAsia="en-GB"/>
          <w14:ligatures w14:val="none"/>
        </w:rPr>
        <w:t> .</w:t>
      </w:r>
    </w:p>
    <w:p w14:paraId="642B9690"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033 Reference ID: 5-033-20230814</w:t>
      </w:r>
    </w:p>
    <w:p w14:paraId="773C09BF"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can applicants seeking planning permission for battery energy storage systems do to ensure they consider any potential risks?</w:t>
      </w:r>
    </w:p>
    <w:p w14:paraId="554ED2C1"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Where planning permission is being sought for development of battery energy storage systems of 1 MWh or over, and excluding where battery energy storage systems are associated with a residential dwelling, applicants are encouraged to engage with the relevant local fire and rescue service before submitting an application to the local planning authority. This is so matters relating to the siting and location of battery energy storage systems, in particular in the event of an incident, prevention of the impact of thermal runway, and emergency services access can be considered before an application is made.</w:t>
      </w:r>
    </w:p>
    <w:p w14:paraId="4BF8256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Applicants are also encouraged to consider </w:t>
      </w:r>
      <w:hyperlink r:id="rId89" w:history="1">
        <w:r w:rsidRPr="00A0784F">
          <w:rPr>
            <w:rFonts w:ascii="Arial" w:eastAsia="Times New Roman" w:hAnsi="Arial" w:cs="Arial"/>
            <w:color w:val="1D70B8"/>
            <w:kern w:val="0"/>
            <w:sz w:val="27"/>
            <w:szCs w:val="27"/>
            <w:u w:val="single"/>
            <w:lang w:eastAsia="en-GB"/>
            <w14:ligatures w14:val="none"/>
          </w:rPr>
          <w:t>guidance produced by the National Fire Chiefs Council</w:t>
        </w:r>
      </w:hyperlink>
      <w:r w:rsidRPr="00A0784F">
        <w:rPr>
          <w:rFonts w:ascii="Arial" w:eastAsia="Times New Roman" w:hAnsi="Arial" w:cs="Arial"/>
          <w:color w:val="0B0C0C"/>
          <w:kern w:val="0"/>
          <w:sz w:val="27"/>
          <w:szCs w:val="27"/>
          <w:lang w:eastAsia="en-GB"/>
          <w14:ligatures w14:val="none"/>
        </w:rPr>
        <w:t> (PDF, 488 KB) when preparing the application.</w:t>
      </w:r>
    </w:p>
    <w:p w14:paraId="09BEF054"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The location of such sites are of particular interest to fire and rescue services; who will seek to obtain details of the design, and firefighting access and facilities at these sites in their register of site specific risks that they maintain for the purposes of Section 7 of the Fire and Rescue Services Act 2004.</w:t>
      </w:r>
    </w:p>
    <w:p w14:paraId="7D16842E"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034 Reference ID: 5-034-20230814</w:t>
      </w:r>
    </w:p>
    <w:p w14:paraId="63D9C55B"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What can local planning authorities do to ensure they consider any potential risks when determining the planning application?</w:t>
      </w:r>
    </w:p>
    <w:p w14:paraId="34751C96"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When planning applications for the development of battery energy storage systems of 1 MWh or over, and excluding where battery energy storage systems are associated with a residential dwelling, are submitted to a local planning authority, the local planning authority are encouraged to consult with their local fire and rescue service as part of the </w:t>
      </w:r>
      <w:hyperlink r:id="rId90" w:anchor="Public-consultation" w:history="1">
        <w:r w:rsidRPr="00A0784F">
          <w:rPr>
            <w:rFonts w:ascii="Arial" w:eastAsia="Times New Roman" w:hAnsi="Arial" w:cs="Arial"/>
            <w:color w:val="1D70B8"/>
            <w:kern w:val="0"/>
            <w:sz w:val="27"/>
            <w:szCs w:val="27"/>
            <w:u w:val="single"/>
            <w:lang w:eastAsia="en-GB"/>
            <w14:ligatures w14:val="none"/>
          </w:rPr>
          <w:t>formal period of public consultation</w:t>
        </w:r>
      </w:hyperlink>
      <w:r w:rsidRPr="00A0784F">
        <w:rPr>
          <w:rFonts w:ascii="Arial" w:eastAsia="Times New Roman" w:hAnsi="Arial" w:cs="Arial"/>
          <w:color w:val="0B0C0C"/>
          <w:kern w:val="0"/>
          <w:sz w:val="27"/>
          <w:szCs w:val="27"/>
          <w:lang w:eastAsia="en-GB"/>
          <w14:ligatures w14:val="none"/>
        </w:rPr>
        <w:t> prior to deciding the planning application. This is to ensure that the fire and rescue service are given the opportunity to provide their views on the application to identify the potential mitigations which could be put in place in the event of an incident, and so these views can be taken into account when determining the application.</w:t>
      </w:r>
    </w:p>
    <w:p w14:paraId="0BD668E2"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Local planning authorities are also encouraged to consider </w:t>
      </w:r>
      <w:hyperlink r:id="rId91" w:history="1">
        <w:r w:rsidRPr="00A0784F">
          <w:rPr>
            <w:rFonts w:ascii="Arial" w:eastAsia="Times New Roman" w:hAnsi="Arial" w:cs="Arial"/>
            <w:color w:val="1D70B8"/>
            <w:kern w:val="0"/>
            <w:sz w:val="27"/>
            <w:szCs w:val="27"/>
            <w:u w:val="single"/>
            <w:lang w:eastAsia="en-GB"/>
            <w14:ligatures w14:val="none"/>
          </w:rPr>
          <w:t>guidance produced by the National Fire Chiefs Council</w:t>
        </w:r>
      </w:hyperlink>
      <w:r w:rsidRPr="00A0784F">
        <w:rPr>
          <w:rFonts w:ascii="Arial" w:eastAsia="Times New Roman" w:hAnsi="Arial" w:cs="Arial"/>
          <w:color w:val="0B0C0C"/>
          <w:kern w:val="0"/>
          <w:sz w:val="27"/>
          <w:szCs w:val="27"/>
          <w:lang w:eastAsia="en-GB"/>
          <w14:ligatures w14:val="none"/>
        </w:rPr>
        <w:t> (PDF, 488 KB) when determining the application.</w:t>
      </w:r>
    </w:p>
    <w:p w14:paraId="3B825708"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035 Reference ID: 5-035-20230814</w:t>
      </w:r>
    </w:p>
    <w:p w14:paraId="125198D6" w14:textId="77777777" w:rsidR="00A0784F" w:rsidRPr="00A0784F" w:rsidRDefault="00A0784F" w:rsidP="00A0784F">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A0784F">
        <w:rPr>
          <w:rFonts w:ascii="Arial" w:eastAsia="Times New Roman" w:hAnsi="Arial" w:cs="Arial"/>
          <w:b/>
          <w:bCs/>
          <w:color w:val="0B0C0C"/>
          <w:kern w:val="0"/>
          <w:sz w:val="27"/>
          <w:szCs w:val="27"/>
          <w:lang w:eastAsia="en-GB"/>
          <w14:ligatures w14:val="none"/>
        </w:rPr>
        <w:t>Who is the relevant local fire and rescue service for an area?</w:t>
      </w:r>
    </w:p>
    <w:p w14:paraId="5F6115CB"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92" w:history="1">
        <w:r w:rsidRPr="00A0784F">
          <w:rPr>
            <w:rFonts w:ascii="Arial" w:eastAsia="Times New Roman" w:hAnsi="Arial" w:cs="Arial"/>
            <w:color w:val="1D70B8"/>
            <w:kern w:val="0"/>
            <w:sz w:val="27"/>
            <w:szCs w:val="27"/>
            <w:u w:val="single"/>
            <w:lang w:eastAsia="en-GB"/>
            <w14:ligatures w14:val="none"/>
          </w:rPr>
          <w:t>Find the relevant fire and rescue service here</w:t>
        </w:r>
      </w:hyperlink>
      <w:r w:rsidRPr="00A0784F">
        <w:rPr>
          <w:rFonts w:ascii="Arial" w:eastAsia="Times New Roman" w:hAnsi="Arial" w:cs="Arial"/>
          <w:color w:val="0B0C0C"/>
          <w:kern w:val="0"/>
          <w:sz w:val="27"/>
          <w:szCs w:val="27"/>
          <w:lang w:eastAsia="en-GB"/>
          <w14:ligatures w14:val="none"/>
        </w:rPr>
        <w:t>, with any correspondence being directed to the Chief Fire Officer for circulation to the correct department.</w:t>
      </w:r>
    </w:p>
    <w:p w14:paraId="2A8DF499" w14:textId="77777777" w:rsidR="00A0784F" w:rsidRPr="00A0784F" w:rsidRDefault="00A0784F" w:rsidP="00A0784F">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A0784F">
        <w:rPr>
          <w:rFonts w:ascii="Arial" w:eastAsia="Times New Roman" w:hAnsi="Arial" w:cs="Arial"/>
          <w:color w:val="0B0C0C"/>
          <w:kern w:val="0"/>
          <w:sz w:val="27"/>
          <w:szCs w:val="27"/>
          <w:lang w:eastAsia="en-GB"/>
          <w14:ligatures w14:val="none"/>
        </w:rPr>
        <w:t>Paragraph: 036 Reference ID: 5-036-20230814</w:t>
      </w:r>
    </w:p>
    <w:p w14:paraId="4FA60CB4"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698"/>
    <w:multiLevelType w:val="multilevel"/>
    <w:tmpl w:val="0B7A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2591C"/>
    <w:multiLevelType w:val="multilevel"/>
    <w:tmpl w:val="89DE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84D00"/>
    <w:multiLevelType w:val="multilevel"/>
    <w:tmpl w:val="7B2C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F0438"/>
    <w:multiLevelType w:val="multilevel"/>
    <w:tmpl w:val="128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53A84"/>
    <w:multiLevelType w:val="multilevel"/>
    <w:tmpl w:val="1A5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04CD0"/>
    <w:multiLevelType w:val="multilevel"/>
    <w:tmpl w:val="09E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C3571"/>
    <w:multiLevelType w:val="multilevel"/>
    <w:tmpl w:val="BD4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A67A48"/>
    <w:multiLevelType w:val="multilevel"/>
    <w:tmpl w:val="E0F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093E33"/>
    <w:multiLevelType w:val="multilevel"/>
    <w:tmpl w:val="F33E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97231"/>
    <w:multiLevelType w:val="multilevel"/>
    <w:tmpl w:val="10C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A4104D"/>
    <w:multiLevelType w:val="multilevel"/>
    <w:tmpl w:val="FEB4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5631380">
    <w:abstractNumId w:val="0"/>
  </w:num>
  <w:num w:numId="2" w16cid:durableId="1636258290">
    <w:abstractNumId w:val="7"/>
  </w:num>
  <w:num w:numId="3" w16cid:durableId="1441996145">
    <w:abstractNumId w:val="10"/>
  </w:num>
  <w:num w:numId="4" w16cid:durableId="979842058">
    <w:abstractNumId w:val="2"/>
  </w:num>
  <w:num w:numId="5" w16cid:durableId="853423470">
    <w:abstractNumId w:val="1"/>
  </w:num>
  <w:num w:numId="6" w16cid:durableId="1808740373">
    <w:abstractNumId w:val="8"/>
  </w:num>
  <w:num w:numId="7" w16cid:durableId="878125589">
    <w:abstractNumId w:val="6"/>
  </w:num>
  <w:num w:numId="8" w16cid:durableId="1614903822">
    <w:abstractNumId w:val="5"/>
  </w:num>
  <w:num w:numId="9" w16cid:durableId="1379621298">
    <w:abstractNumId w:val="4"/>
  </w:num>
  <w:num w:numId="10" w16cid:durableId="1452363016">
    <w:abstractNumId w:val="3"/>
  </w:num>
  <w:num w:numId="11" w16cid:durableId="65961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4F"/>
    <w:rsid w:val="00A0784F"/>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0745"/>
  <w15:chartTrackingRefBased/>
  <w15:docId w15:val="{D1DEE343-DF8C-45D8-BBB6-47A7C77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041385">
      <w:bodyDiv w:val="1"/>
      <w:marLeft w:val="0"/>
      <w:marRight w:val="0"/>
      <w:marTop w:val="0"/>
      <w:marBottom w:val="0"/>
      <w:divBdr>
        <w:top w:val="none" w:sz="0" w:space="0" w:color="auto"/>
        <w:left w:val="none" w:sz="0" w:space="0" w:color="auto"/>
        <w:bottom w:val="none" w:sz="0" w:space="0" w:color="auto"/>
        <w:right w:val="none" w:sz="0" w:space="0" w:color="auto"/>
      </w:divBdr>
      <w:divsChild>
        <w:div w:id="1836073164">
          <w:marLeft w:val="-225"/>
          <w:marRight w:val="-225"/>
          <w:marTop w:val="0"/>
          <w:marBottom w:val="0"/>
          <w:divBdr>
            <w:top w:val="none" w:sz="0" w:space="0" w:color="auto"/>
            <w:left w:val="none" w:sz="0" w:space="0" w:color="auto"/>
            <w:bottom w:val="none" w:sz="0" w:space="0" w:color="auto"/>
            <w:right w:val="none" w:sz="0" w:space="0" w:color="auto"/>
          </w:divBdr>
          <w:divsChild>
            <w:div w:id="410198331">
              <w:marLeft w:val="0"/>
              <w:marRight w:val="0"/>
              <w:marTop w:val="0"/>
              <w:marBottom w:val="0"/>
              <w:divBdr>
                <w:top w:val="none" w:sz="0" w:space="0" w:color="auto"/>
                <w:left w:val="none" w:sz="0" w:space="0" w:color="auto"/>
                <w:bottom w:val="none" w:sz="0" w:space="0" w:color="auto"/>
                <w:right w:val="none" w:sz="0" w:space="0" w:color="auto"/>
              </w:divBdr>
              <w:divsChild>
                <w:div w:id="1763574328">
                  <w:marLeft w:val="0"/>
                  <w:marRight w:val="0"/>
                  <w:marTop w:val="750"/>
                  <w:marBottom w:val="750"/>
                  <w:divBdr>
                    <w:top w:val="none" w:sz="0" w:space="0" w:color="auto"/>
                    <w:left w:val="none" w:sz="0" w:space="0" w:color="auto"/>
                    <w:bottom w:val="none" w:sz="0" w:space="0" w:color="auto"/>
                    <w:right w:val="none" w:sz="0" w:space="0" w:color="auto"/>
                  </w:divBdr>
                </w:div>
              </w:divsChild>
            </w:div>
            <w:div w:id="2001887365">
              <w:marLeft w:val="0"/>
              <w:marRight w:val="0"/>
              <w:marTop w:val="0"/>
              <w:marBottom w:val="0"/>
              <w:divBdr>
                <w:top w:val="none" w:sz="0" w:space="0" w:color="auto"/>
                <w:left w:val="none" w:sz="0" w:space="0" w:color="auto"/>
                <w:bottom w:val="none" w:sz="0" w:space="0" w:color="auto"/>
                <w:right w:val="none" w:sz="0" w:space="0" w:color="auto"/>
              </w:divBdr>
            </w:div>
          </w:divsChild>
        </w:div>
        <w:div w:id="95294647">
          <w:marLeft w:val="-225"/>
          <w:marRight w:val="-225"/>
          <w:marTop w:val="0"/>
          <w:marBottom w:val="0"/>
          <w:divBdr>
            <w:top w:val="none" w:sz="0" w:space="0" w:color="auto"/>
            <w:left w:val="none" w:sz="0" w:space="0" w:color="auto"/>
            <w:bottom w:val="none" w:sz="0" w:space="0" w:color="auto"/>
            <w:right w:val="none" w:sz="0" w:space="0" w:color="auto"/>
          </w:divBdr>
          <w:divsChild>
            <w:div w:id="411315683">
              <w:marLeft w:val="225"/>
              <w:marRight w:val="225"/>
              <w:marTop w:val="0"/>
              <w:marBottom w:val="0"/>
              <w:divBdr>
                <w:top w:val="single" w:sz="6" w:space="0" w:color="B1B4B6"/>
                <w:left w:val="none" w:sz="0" w:space="0" w:color="auto"/>
                <w:bottom w:val="none" w:sz="0" w:space="0" w:color="auto"/>
                <w:right w:val="none" w:sz="0" w:space="0" w:color="auto"/>
              </w:divBdr>
              <w:divsChild>
                <w:div w:id="1410155132">
                  <w:marLeft w:val="0"/>
                  <w:marRight w:val="0"/>
                  <w:marTop w:val="0"/>
                  <w:marBottom w:val="0"/>
                  <w:divBdr>
                    <w:top w:val="none" w:sz="0" w:space="0" w:color="auto"/>
                    <w:left w:val="none" w:sz="0" w:space="0" w:color="auto"/>
                    <w:bottom w:val="none" w:sz="0" w:space="0" w:color="auto"/>
                    <w:right w:val="none" w:sz="0" w:space="0" w:color="auto"/>
                  </w:divBdr>
                  <w:divsChild>
                    <w:div w:id="15506101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53846042">
          <w:marLeft w:val="0"/>
          <w:marRight w:val="0"/>
          <w:marTop w:val="0"/>
          <w:marBottom w:val="450"/>
          <w:divBdr>
            <w:top w:val="none" w:sz="0" w:space="0" w:color="auto"/>
            <w:left w:val="none" w:sz="0" w:space="0" w:color="auto"/>
            <w:bottom w:val="none" w:sz="0" w:space="0" w:color="auto"/>
            <w:right w:val="none" w:sz="0" w:space="0" w:color="auto"/>
          </w:divBdr>
        </w:div>
        <w:div w:id="1743408447">
          <w:marLeft w:val="-225"/>
          <w:marRight w:val="-225"/>
          <w:marTop w:val="0"/>
          <w:marBottom w:val="0"/>
          <w:divBdr>
            <w:top w:val="none" w:sz="0" w:space="0" w:color="auto"/>
            <w:left w:val="none" w:sz="0" w:space="0" w:color="auto"/>
            <w:bottom w:val="none" w:sz="0" w:space="0" w:color="auto"/>
            <w:right w:val="none" w:sz="0" w:space="0" w:color="auto"/>
          </w:divBdr>
          <w:divsChild>
            <w:div w:id="2106803701">
              <w:marLeft w:val="0"/>
              <w:marRight w:val="0"/>
              <w:marTop w:val="0"/>
              <w:marBottom w:val="0"/>
              <w:divBdr>
                <w:top w:val="none" w:sz="0" w:space="0" w:color="auto"/>
                <w:left w:val="none" w:sz="0" w:space="0" w:color="auto"/>
                <w:bottom w:val="none" w:sz="0" w:space="0" w:color="auto"/>
                <w:right w:val="none" w:sz="0" w:space="0" w:color="auto"/>
              </w:divBdr>
              <w:divsChild>
                <w:div w:id="916671320">
                  <w:marLeft w:val="0"/>
                  <w:marRight w:val="0"/>
                  <w:marTop w:val="0"/>
                  <w:marBottom w:val="0"/>
                  <w:divBdr>
                    <w:top w:val="none" w:sz="0" w:space="0" w:color="auto"/>
                    <w:left w:val="none" w:sz="0" w:space="0" w:color="auto"/>
                    <w:bottom w:val="none" w:sz="0" w:space="0" w:color="auto"/>
                    <w:right w:val="none" w:sz="0" w:space="0" w:color="auto"/>
                  </w:divBdr>
                  <w:divsChild>
                    <w:div w:id="71512017">
                      <w:marLeft w:val="0"/>
                      <w:marRight w:val="0"/>
                      <w:marTop w:val="0"/>
                      <w:marBottom w:val="750"/>
                      <w:divBdr>
                        <w:top w:val="none" w:sz="0" w:space="0" w:color="auto"/>
                        <w:left w:val="none" w:sz="0" w:space="0" w:color="auto"/>
                        <w:bottom w:val="none" w:sz="0" w:space="0" w:color="auto"/>
                        <w:right w:val="none" w:sz="0" w:space="0" w:color="auto"/>
                      </w:divBdr>
                    </w:div>
                    <w:div w:id="1747649645">
                      <w:marLeft w:val="0"/>
                      <w:marRight w:val="0"/>
                      <w:marTop w:val="0"/>
                      <w:marBottom w:val="450"/>
                      <w:divBdr>
                        <w:top w:val="none" w:sz="0" w:space="0" w:color="auto"/>
                        <w:left w:val="none" w:sz="0" w:space="0" w:color="auto"/>
                        <w:bottom w:val="none" w:sz="0" w:space="0" w:color="auto"/>
                        <w:right w:val="none" w:sz="0" w:space="0" w:color="auto"/>
                      </w:divBdr>
                    </w:div>
                    <w:div w:id="184178051">
                      <w:marLeft w:val="0"/>
                      <w:marRight w:val="0"/>
                      <w:marTop w:val="0"/>
                      <w:marBottom w:val="0"/>
                      <w:divBdr>
                        <w:top w:val="none" w:sz="0" w:space="0" w:color="auto"/>
                        <w:left w:val="none" w:sz="0" w:space="0" w:color="auto"/>
                        <w:bottom w:val="none" w:sz="0" w:space="0" w:color="auto"/>
                        <w:right w:val="none" w:sz="0" w:space="0" w:color="auto"/>
                      </w:divBdr>
                      <w:divsChild>
                        <w:div w:id="185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gs.ac.uk/technologies/web-map-services-wms/open-loop-ground-source-heat-pump-viability-screening-map-wms/" TargetMode="External"/><Relationship Id="rId21" Type="http://schemas.openxmlformats.org/officeDocument/2006/relationships/hyperlink" Target="https://www.gov.uk/guidance/renewable-and-low-carbon-energy" TargetMode="External"/><Relationship Id="rId42" Type="http://schemas.openxmlformats.org/officeDocument/2006/relationships/hyperlink" Target="https://www.gov.uk/guidance/national-planning-policy-framework/15-conserving-and-enhancing-the-natural-environment" TargetMode="External"/><Relationship Id="rId47" Type="http://schemas.openxmlformats.org/officeDocument/2006/relationships/hyperlink" Target="https://www.gov.uk/guidance/renewable-and-low-carbon-energy" TargetMode="External"/><Relationship Id="rId63" Type="http://schemas.openxmlformats.org/officeDocument/2006/relationships/hyperlink" Target="https://www.gov.uk/government/publications/strategic-road-network-and-the-delivery-of-sustainable-development" TargetMode="External"/><Relationship Id="rId68" Type="http://schemas.openxmlformats.org/officeDocument/2006/relationships/hyperlink" Target="https://www.gov.uk/guidance/renewable-and-low-carbon-energy" TargetMode="External"/><Relationship Id="rId84" Type="http://schemas.openxmlformats.org/officeDocument/2006/relationships/hyperlink" Target="https://www.gov.uk/guidance/before-submitting-an-application" TargetMode="External"/><Relationship Id="rId89" Type="http://schemas.openxmlformats.org/officeDocument/2006/relationships/hyperlink" Target="https://www.ukfrs.com/sites/default/files/2023-04/Grid%20Scale%20Battery%20Energy%20Storage%20System%20planning%20Guidance%20for%20FRS.pdf" TargetMode="External"/><Relationship Id="rId16" Type="http://schemas.openxmlformats.org/officeDocument/2006/relationships/hyperlink" Target="https://www.gov.uk/guidance/renewable-and-low-carbon-energy" TargetMode="External"/><Relationship Id="rId11" Type="http://schemas.openxmlformats.org/officeDocument/2006/relationships/hyperlink" Target="https://www.gov.uk/guidance/renewable-and-low-carbon-energy" TargetMode="External"/><Relationship Id="rId32" Type="http://schemas.openxmlformats.org/officeDocument/2006/relationships/hyperlink" Target="https://www.gov.uk/guidance/renewable-and-low-carbon-energy" TargetMode="External"/><Relationship Id="rId37" Type="http://schemas.openxmlformats.org/officeDocument/2006/relationships/hyperlink" Target="https://www.planningportal.co.uk/permission/interactive-guidance" TargetMode="External"/><Relationship Id="rId53" Type="http://schemas.openxmlformats.org/officeDocument/2006/relationships/hyperlink" Target="https://www.gov.uk/guidance/renewable-and-low-carbon-energy" TargetMode="External"/><Relationship Id="rId58" Type="http://schemas.openxmlformats.org/officeDocument/2006/relationships/hyperlink" Target="https://www.gov.uk/government/policies/increasing-the-use-of-low-carbon-technologies/supporting-pages/onshore-wind" TargetMode="External"/><Relationship Id="rId74" Type="http://schemas.openxmlformats.org/officeDocument/2006/relationships/hyperlink" Target="https://www.legislation.gov.uk/ukpga/2011/20/part/6/chapter/4/enacted" TargetMode="External"/><Relationship Id="rId79" Type="http://schemas.openxmlformats.org/officeDocument/2006/relationships/hyperlink" Target="https://www.legislation.gov.uk/ukpga/1990/8/contents" TargetMode="External"/><Relationship Id="rId5" Type="http://schemas.openxmlformats.org/officeDocument/2006/relationships/hyperlink" Target="https://www.gov.uk/government/organisations/department-for-levelling-up-housing-and-communities" TargetMode="External"/><Relationship Id="rId90" Type="http://schemas.openxmlformats.org/officeDocument/2006/relationships/hyperlink" Target="https://www.gov.uk/guidance/consultation-and-pre-decision-matters" TargetMode="External"/><Relationship Id="rId95" Type="http://schemas.openxmlformats.org/officeDocument/2006/relationships/customXml" Target="../customXml/item1.xml"/><Relationship Id="rId22" Type="http://schemas.openxmlformats.org/officeDocument/2006/relationships/hyperlink" Target="https://www.gov.uk/guidance/national-planning-policy-framework/14-meeting-the-challenge-of-climate-change-flooding-and-coastal-change" TargetMode="External"/><Relationship Id="rId27" Type="http://schemas.openxmlformats.org/officeDocument/2006/relationships/hyperlink" Target="https://www.gov.uk/consents-and-planning-applications-for-national-energy-infrastructure-projects" TargetMode="External"/><Relationship Id="rId43" Type="http://schemas.openxmlformats.org/officeDocument/2006/relationships/hyperlink" Target="https://webarchive.nationalarchives.gov.uk/ukgwa/20140602172153/http:/planningguidance.planningportal.gov.uk/blog/guidance/renewable-and-low-carbon-energy/particular-planning-considerations-for-hydropower-active-solar-technology-solar-farms-and-wind-turbines/" TargetMode="External"/><Relationship Id="rId48" Type="http://schemas.openxmlformats.org/officeDocument/2006/relationships/hyperlink" Target="https://www.gov.uk/guidance/renewable-and-low-carbon-energy" TargetMode="External"/><Relationship Id="rId64" Type="http://schemas.openxmlformats.org/officeDocument/2006/relationships/hyperlink" Target="https://www.gov.uk/government/organisations/natural-england" TargetMode="External"/><Relationship Id="rId69" Type="http://schemas.openxmlformats.org/officeDocument/2006/relationships/hyperlink" Target="https://www.gov.uk/guidance/renewable-and-low-carbon-energy" TargetMode="External"/><Relationship Id="rId8" Type="http://schemas.openxmlformats.org/officeDocument/2006/relationships/hyperlink" Target="https://www.gov.uk/guidance/renewable-and-low-carbon-energy" TargetMode="External"/><Relationship Id="rId51" Type="http://schemas.openxmlformats.org/officeDocument/2006/relationships/hyperlink" Target="https://www.gov.uk/guidance/renewable-and-low-carbon-energy" TargetMode="External"/><Relationship Id="rId72" Type="http://schemas.openxmlformats.org/officeDocument/2006/relationships/hyperlink" Target="https://www.gov.uk/guidance/renewable-and-low-carbon-energy" TargetMode="External"/><Relationship Id="rId80" Type="http://schemas.openxmlformats.org/officeDocument/2006/relationships/hyperlink" Target="https://www.gov.uk/guidance/renewable-and-low-carbon-energy" TargetMode="External"/><Relationship Id="rId85" Type="http://schemas.openxmlformats.org/officeDocument/2006/relationships/hyperlink" Target="https://www.legislation.gov.uk/ukpga/2011/20/part/6/chapter/4/enacted"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olicies/providing-regulation-and-licensing-of-energy-industries-and-infrastructure/supporting-pages/planning-and-consents-for-national-energy-infrastructure" TargetMode="External"/><Relationship Id="rId17" Type="http://schemas.openxmlformats.org/officeDocument/2006/relationships/hyperlink" Target="https://questions-statements.parliament.uk/written-statements/detail/2015-06-18/HCWS42" TargetMode="External"/><Relationship Id="rId25" Type="http://schemas.openxmlformats.org/officeDocument/2006/relationships/hyperlink" Target="https://www.gov.uk/consents-and-planning-applications-for-national-energy-infrastructure-projects" TargetMode="External"/><Relationship Id="rId33" Type="http://schemas.openxmlformats.org/officeDocument/2006/relationships/hyperlink" Target="https://www.gov.uk/guidance/renewable-and-low-carbon-energy" TargetMode="External"/><Relationship Id="rId38" Type="http://schemas.openxmlformats.org/officeDocument/2006/relationships/hyperlink" Target="https://www.gov.uk/government/speeches/gregory-barker-speech-to-the-large-scale-solar-conference" TargetMode="External"/><Relationship Id="rId46" Type="http://schemas.openxmlformats.org/officeDocument/2006/relationships/hyperlink" Target="https://www.gov.uk/guidance/renewable-and-low-carbon-energy" TargetMode="External"/><Relationship Id="rId59" Type="http://schemas.openxmlformats.org/officeDocument/2006/relationships/hyperlink" Target="https://www.gov.uk/government/publications/safeguarding-aerodromes-technical-sites-and-military-explosives-storage-areas" TargetMode="External"/><Relationship Id="rId67" Type="http://schemas.openxmlformats.org/officeDocument/2006/relationships/hyperlink" Target="https://www.gov.uk/guidance/renewable-and-low-carbon-energy" TargetMode="External"/><Relationship Id="rId20" Type="http://schemas.openxmlformats.org/officeDocument/2006/relationships/hyperlink" Target="https://www.gov.uk/guidance/renewable-and-low-carbon-energy" TargetMode="External"/><Relationship Id="rId41" Type="http://schemas.openxmlformats.org/officeDocument/2006/relationships/hyperlink" Target="https://www.gov.uk/guidance/renewable-and-low-carbon-energy" TargetMode="External"/><Relationship Id="rId54" Type="http://schemas.openxmlformats.org/officeDocument/2006/relationships/hyperlink" Target="https://www.gov.uk/guidance/renewable-and-low-carbon-energy" TargetMode="External"/><Relationship Id="rId62" Type="http://schemas.openxmlformats.org/officeDocument/2006/relationships/hyperlink" Target="https://www.gov.uk/government/publications/wind-farms-ministry-of-defence-safeguarding" TargetMode="External"/><Relationship Id="rId70" Type="http://schemas.openxmlformats.org/officeDocument/2006/relationships/hyperlink" Target="https://www.gov.uk/guidance/renewable-and-low-carbon-energy" TargetMode="External"/><Relationship Id="rId75" Type="http://schemas.openxmlformats.org/officeDocument/2006/relationships/hyperlink" Target="https://www.legislation.gov.uk/uksi/2015/595/article/4/made" TargetMode="External"/><Relationship Id="rId83" Type="http://schemas.openxmlformats.org/officeDocument/2006/relationships/hyperlink" Target="https://www.legislation.gov.uk/ukpga/2011/20/part/6/chapter/4/enacted" TargetMode="External"/><Relationship Id="rId88" Type="http://schemas.openxmlformats.org/officeDocument/2006/relationships/hyperlink" Target="https://www.legislation.gov.uk/uksi/2015/595/contents/made" TargetMode="External"/><Relationship Id="rId91" Type="http://schemas.openxmlformats.org/officeDocument/2006/relationships/hyperlink" Target="https://www.ukfrs.com/sites/default/files/2023-04/Grid%20Scale%20Battery%20Energy%20Storage%20System%20planning%20Guidance%20for%20FRS.pdf" TargetMode="External"/><Relationship Id="rId9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5" Type="http://schemas.openxmlformats.org/officeDocument/2006/relationships/hyperlink" Target="https://www.gov.uk/guidance/renewable-and-low-carbon-energy" TargetMode="External"/><Relationship Id="rId23" Type="http://schemas.openxmlformats.org/officeDocument/2006/relationships/hyperlink" Target="https://webarchive.nationalarchives.gov.uk/ukgwa/20150601163943/http:/planningguidance.planningportal.gov.uk/blog/guidance/renewable-and-low-carbon-energy/developing-a-strategy-for-renewable-and-low-carbon-energy/" TargetMode="External"/><Relationship Id="rId28" Type="http://schemas.openxmlformats.org/officeDocument/2006/relationships/hyperlink" Target="http://tools.decc.gov.uk/nationalheatmap" TargetMode="External"/><Relationship Id="rId36" Type="http://schemas.openxmlformats.org/officeDocument/2006/relationships/hyperlink" Target="https://www.gov.uk/guidance/new-hydropower-scheme-apply-to-build-one" TargetMode="External"/><Relationship Id="rId49" Type="http://schemas.openxmlformats.org/officeDocument/2006/relationships/hyperlink" Target="https://www.gov.uk/guidance/renewable-and-low-carbon-energy" TargetMode="External"/><Relationship Id="rId57" Type="http://schemas.openxmlformats.org/officeDocument/2006/relationships/hyperlink" Target="https://www.gov.uk/government/publications/2010-to-2015-government-policy-low-carbon-technologies" TargetMode="External"/><Relationship Id="rId10" Type="http://schemas.openxmlformats.org/officeDocument/2006/relationships/hyperlink" Target="https://www.gov.uk/guidance/renewable-and-low-carbon-energy" TargetMode="External"/><Relationship Id="rId31" Type="http://schemas.openxmlformats.org/officeDocument/2006/relationships/hyperlink" Target="https://www.gov.uk/guidance/renewable-and-low-carbon-energy" TargetMode="External"/><Relationship Id="rId44" Type="http://schemas.openxmlformats.org/officeDocument/2006/relationships/hyperlink" Target="https://www.gov.uk/guidance/renewable-and-low-carbon-energy" TargetMode="External"/><Relationship Id="rId52" Type="http://schemas.openxmlformats.org/officeDocument/2006/relationships/hyperlink" Target="https://www.gov.uk/guidance/renewable-and-low-carbon-energy" TargetMode="External"/><Relationship Id="rId60" Type="http://schemas.openxmlformats.org/officeDocument/2006/relationships/hyperlink" Target="https://www.caa.co.uk/safety-initiatives-and-resources/windfarms/windfarms/" TargetMode="External"/><Relationship Id="rId65" Type="http://schemas.openxmlformats.org/officeDocument/2006/relationships/hyperlink" Target="https://historicengland.org.uk/" TargetMode="External"/><Relationship Id="rId73" Type="http://schemas.openxmlformats.org/officeDocument/2006/relationships/hyperlink" Target="https://webarchive.nationalarchives.gov.uk/ukgwa/20140505175953/http:/planningguidance.planningportal.gov.uk/blog/guidance/renewable-and-low-carbon-energy/particular-planning-considerations-for-hydropower-active-solar-technology-solar-farms-and-wind-turbines/" TargetMode="External"/><Relationship Id="rId78" Type="http://schemas.openxmlformats.org/officeDocument/2006/relationships/hyperlink" Target="https://www.gov.uk/guidance/renewable-and-low-carbon-energy" TargetMode="External"/><Relationship Id="rId81" Type="http://schemas.openxmlformats.org/officeDocument/2006/relationships/hyperlink" Target="https://www.gov.uk/guidance/renewable-and-low-carbon-energy" TargetMode="External"/><Relationship Id="rId86" Type="http://schemas.openxmlformats.org/officeDocument/2006/relationships/hyperlink" Target="https://www.legislation.gov.uk/uksi/2015/595/article/4/mad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renewable-and-low-carbon-energy" TargetMode="External"/><Relationship Id="rId13" Type="http://schemas.openxmlformats.org/officeDocument/2006/relationships/hyperlink" Target="https://www.planningportal.co.uk/permission/interactive-guidance" TargetMode="External"/><Relationship Id="rId18" Type="http://schemas.openxmlformats.org/officeDocument/2006/relationships/hyperlink" Target="https://www.gov.uk/guidance/renewable-and-low-carbon-energy" TargetMode="External"/><Relationship Id="rId39" Type="http://schemas.openxmlformats.org/officeDocument/2006/relationships/hyperlink" Target="https://questions-statements.parliament.uk/written-statements/detail/2015-03-25/HCWS488" TargetMode="External"/><Relationship Id="rId34" Type="http://schemas.openxmlformats.org/officeDocument/2006/relationships/hyperlink" Target="https://www.gov.uk/guidance/renewable-and-low-carbon-energy" TargetMode="External"/><Relationship Id="rId50" Type="http://schemas.openxmlformats.org/officeDocument/2006/relationships/hyperlink" Target="https://www.gov.uk/guidance/renewable-and-low-carbon-energy" TargetMode="External"/><Relationship Id="rId55" Type="http://schemas.openxmlformats.org/officeDocument/2006/relationships/hyperlink" Target="https://webarchive.nationalarchives.gov.uk/ukgwa/20140602172153/http:/planningguidance.planningportal.gov.uk/blog/guidance/renewable-and-low-carbon-energy/particular-planning-considerations-for-hydropower-active-solar-technology-solar-farms-and-wind-turbines/" TargetMode="External"/><Relationship Id="rId76" Type="http://schemas.openxmlformats.org/officeDocument/2006/relationships/hyperlink" Target="https://webarchive.nationalarchives.gov.uk/ukgwa/20140602172153/http:/planningguidance.planningportal.gov.uk/blog/guidance/renewable-and-low-carbon-energy/particular-planning-considerations-for-hydropower-active-solar-technology-solar-farms-and-wind-turbines/" TargetMode="External"/><Relationship Id="rId7" Type="http://schemas.openxmlformats.org/officeDocument/2006/relationships/hyperlink" Target="https://www.gov.uk/guidance/renewable-and-low-carbon-energy" TargetMode="External"/><Relationship Id="rId71" Type="http://schemas.openxmlformats.org/officeDocument/2006/relationships/hyperlink" Target="https://www.gov.uk/guidance/renewable-and-low-carbon-energy" TargetMode="External"/><Relationship Id="rId92" Type="http://schemas.openxmlformats.org/officeDocument/2006/relationships/hyperlink" Target="https://fireengland.uk/your-fire-and-rescue-service/find-your-service" TargetMode="External"/><Relationship Id="rId2" Type="http://schemas.openxmlformats.org/officeDocument/2006/relationships/styles" Target="styles.xml"/><Relationship Id="rId29" Type="http://schemas.openxmlformats.org/officeDocument/2006/relationships/hyperlink" Target="https://www.gov.uk/guidance/combined-heat-and-power" TargetMode="External"/><Relationship Id="rId24" Type="http://schemas.openxmlformats.org/officeDocument/2006/relationships/hyperlink" Target="https://gov.uk/guidance/national-planning-policy-framework/14-meeting-the-challenge-of-climate-change-flooding-and-coastal-change" TargetMode="External"/><Relationship Id="rId40" Type="http://schemas.openxmlformats.org/officeDocument/2006/relationships/hyperlink" Target="https://www.gov.uk/guidance/renewable-and-low-carbon-energy" TargetMode="External"/><Relationship Id="rId45" Type="http://schemas.openxmlformats.org/officeDocument/2006/relationships/hyperlink" Target="https://www.gov.uk/guidance/renewable-and-low-carbon-energy" TargetMode="External"/><Relationship Id="rId66" Type="http://schemas.openxmlformats.org/officeDocument/2006/relationships/hyperlink" Target="https://www.legislation.gov.uk/uksi/2015/595/article/3/made" TargetMode="External"/><Relationship Id="rId87" Type="http://schemas.openxmlformats.org/officeDocument/2006/relationships/hyperlink" Target="https://webarchive.nationalarchives.gov.uk/ukgwa/20140602172153/http:/planningguidance.planningportal.gov.uk/blog/guidance/renewable-and-low-carbon-energy/particular-planning-considerations-for-hydropower-active-solar-technology-solar-farms-and-wind-turbines/" TargetMode="External"/><Relationship Id="rId61" Type="http://schemas.openxmlformats.org/officeDocument/2006/relationships/hyperlink" Target="https://www.nats.aero/" TargetMode="External"/><Relationship Id="rId82" Type="http://schemas.openxmlformats.org/officeDocument/2006/relationships/hyperlink" Target="https://www.legislation.gov.uk/ukpga/2013/27/section/1/enacted" TargetMode="External"/><Relationship Id="rId19" Type="http://schemas.openxmlformats.org/officeDocument/2006/relationships/hyperlink" Target="https://www.gov.uk/guidance/renewable-and-low-carbon-energy" TargetMode="External"/><Relationship Id="rId14" Type="http://schemas.openxmlformats.org/officeDocument/2006/relationships/hyperlink" Target="https://webarchive.nationalarchives.gov.uk/ukgwa/20150601163945/http:/planningguidance.planningportal.gov.uk/blog/guidance/renewable-and-low-carbon-energy/planning-for-renewable-low-carbon-energy-introduction/" TargetMode="External"/><Relationship Id="rId30" Type="http://schemas.openxmlformats.org/officeDocument/2006/relationships/hyperlink" Target="https://www.gov.uk/guidance/national-planning-policy-framework/annex-2-glossary" TargetMode="External"/><Relationship Id="rId35" Type="http://schemas.openxmlformats.org/officeDocument/2006/relationships/hyperlink" Target="https://www.gov.uk/guidance/renewable-and-low-carbon-energy" TargetMode="External"/><Relationship Id="rId56" Type="http://schemas.openxmlformats.org/officeDocument/2006/relationships/hyperlink" Target="https://questions-statements.parliament.uk/written-statements/detail/2015-06-18/HCWS42" TargetMode="External"/><Relationship Id="rId77" Type="http://schemas.openxmlformats.org/officeDocument/2006/relationships/hyperlink" Target="https://www.legislation.gov.uk/ukpga/2011/20/part/6/chapter/4/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3774E-D7C9-4FB3-AEFC-A9EE67C384E6}"/>
</file>

<file path=customXml/itemProps2.xml><?xml version="1.0" encoding="utf-8"?>
<ds:datastoreItem xmlns:ds="http://schemas.openxmlformats.org/officeDocument/2006/customXml" ds:itemID="{48BE72EA-5E78-4D62-A67C-6D755A28C0F3}"/>
</file>

<file path=docProps/app.xml><?xml version="1.0" encoding="utf-8"?>
<Properties xmlns="http://schemas.openxmlformats.org/officeDocument/2006/extended-properties" xmlns:vt="http://schemas.openxmlformats.org/officeDocument/2006/docPropsVTypes">
  <Template>Normal</Template>
  <TotalTime>0</TotalTime>
  <Pages>22</Pages>
  <Words>8027</Words>
  <Characters>45758</Characters>
  <Application>Microsoft Office Word</Application>
  <DocSecurity>0</DocSecurity>
  <Lines>381</Lines>
  <Paragraphs>107</Paragraphs>
  <ScaleCrop>false</ScaleCrop>
  <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2023-11-02T12:22:00Z</dcterms:created>
  <dcterms:modified xsi:type="dcterms:W3CDTF">2023-11-02T12:22:00Z</dcterms:modified>
</cp:coreProperties>
</file>